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2"/>
        <w:ind w:left="5245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left="5245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приказ</w:t>
      </w:r>
      <w:r>
        <w:rPr>
          <w:sz w:val="24"/>
          <w:szCs w:val="24"/>
        </w:rPr>
        <w:t xml:space="preserve">у</w:t>
      </w:r>
      <w:r>
        <w:rPr>
          <w:sz w:val="24"/>
          <w:szCs w:val="24"/>
        </w:rPr>
        <w:t xml:space="preserve"> Министерства природных ресурсов и экологии Чувашской Республики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left="5245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от 14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февраля   202</w:t>
      </w:r>
      <w:r>
        <w:rPr>
          <w:sz w:val="24"/>
          <w:szCs w:val="24"/>
          <w:u w:val="single"/>
        </w:rPr>
        <w:t xml:space="preserve">5 </w:t>
      </w:r>
      <w:r>
        <w:rPr>
          <w:sz w:val="24"/>
          <w:szCs w:val="24"/>
          <w:u w:val="single"/>
        </w:rPr>
        <w:t xml:space="preserve">года № </w:t>
      </w:r>
      <w:r>
        <w:rPr>
          <w:sz w:val="24"/>
          <w:szCs w:val="24"/>
          <w:u w:val="single"/>
        </w:rPr>
        <w:t xml:space="preserve">79</w:t>
      </w:r>
      <w:r>
        <w:rPr>
          <w:sz w:val="24"/>
          <w:szCs w:val="24"/>
          <w:u w:val="single"/>
        </w:rPr>
      </w:r>
    </w:p>
    <w:p>
      <w:pPr>
        <w:pStyle w:val="832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</w:t>
      </w:r>
      <w:r>
        <w:rPr>
          <w:b/>
          <w:sz w:val="24"/>
          <w:szCs w:val="24"/>
        </w:rPr>
        <w:t xml:space="preserve">окументация </w:t>
      </w:r>
      <w:r>
        <w:rPr>
          <w:b/>
          <w:sz w:val="24"/>
          <w:szCs w:val="24"/>
        </w:rPr>
        <w:t xml:space="preserve">об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аукционе </w:t>
      </w:r>
      <w:r>
        <w:rPr>
          <w:b/>
          <w:sz w:val="24"/>
          <w:szCs w:val="24"/>
        </w:rPr>
        <w:t xml:space="preserve">в электронной форме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на право заключения договора аренды лесного участка, находящегося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в государственной собственности</w:t>
      </w:r>
      <w:r>
        <w:rPr>
          <w:rFonts w:ascii="Times New Roman" w:hAnsi="Times New Roman" w:cs="Times New Roman"/>
          <w:b/>
        </w:rPr>
        <w:t xml:space="preserve">,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с кадастровым номер</w:t>
      </w:r>
      <w:r>
        <w:rPr>
          <w:rFonts w:ascii="Times New Roman" w:hAnsi="Times New Roman" w:cs="Times New Roman"/>
          <w:b/>
        </w:rPr>
        <w:t xml:space="preserve">ом </w:t>
      </w:r>
      <w:r>
        <w:rPr>
          <w:rFonts w:ascii="Times New Roman" w:hAnsi="Times New Roman" w:cs="Times New Roman"/>
          <w:b/>
        </w:rPr>
        <w:t xml:space="preserve">21:</w:t>
      </w:r>
      <w:r>
        <w:rPr>
          <w:rFonts w:ascii="Times New Roman" w:hAnsi="Times New Roman" w:cs="Times New Roman"/>
          <w:b/>
        </w:rPr>
        <w:t xml:space="preserve">01</w:t>
      </w:r>
      <w:r>
        <w:rPr>
          <w:rFonts w:ascii="Times New Roman" w:hAnsi="Times New Roman" w:cs="Times New Roman"/>
          <w:b/>
        </w:rPr>
        <w:t xml:space="preserve">:</w:t>
      </w:r>
      <w:r>
        <w:rPr>
          <w:rFonts w:ascii="Times New Roman" w:hAnsi="Times New Roman" w:cs="Times New Roman"/>
          <w:b/>
        </w:rPr>
        <w:t xml:space="preserve">040201:2232,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площадью </w:t>
      </w:r>
      <w:r>
        <w:rPr>
          <w:rFonts w:ascii="Times New Roman" w:hAnsi="Times New Roman" w:cs="Times New Roman"/>
          <w:b/>
        </w:rPr>
        <w:t xml:space="preserve">1,9497 га, расположенного по адресу: Чувашская Республика</w:t>
      </w:r>
      <w:r>
        <w:rPr>
          <w:rFonts w:ascii="Times New Roman" w:hAnsi="Times New Roman" w:cs="Times New Roman"/>
          <w:b/>
        </w:rPr>
        <w:t xml:space="preserve">,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Чебоксарский</w:t>
      </w:r>
      <w:r>
        <w:rPr>
          <w:rFonts w:ascii="Times New Roman" w:hAnsi="Times New Roman" w:cs="Times New Roman"/>
          <w:b/>
        </w:rPr>
        <w:t xml:space="preserve"> городской округ</w:t>
      </w:r>
      <w:r>
        <w:rPr>
          <w:rFonts w:ascii="Times New Roman" w:hAnsi="Times New Roman" w:cs="Times New Roman"/>
          <w:b/>
        </w:rPr>
        <w:t xml:space="preserve">, </w:t>
      </w:r>
      <w:r>
        <w:rPr>
          <w:rFonts w:ascii="Times New Roman" w:hAnsi="Times New Roman" w:cs="Times New Roman"/>
          <w:b/>
        </w:rPr>
        <w:t xml:space="preserve">Чебоксарское</w:t>
      </w:r>
      <w:r>
        <w:rPr>
          <w:rFonts w:ascii="Times New Roman" w:hAnsi="Times New Roman" w:cs="Times New Roman"/>
          <w:b/>
        </w:rPr>
        <w:t xml:space="preserve"> лесничество, </w:t>
      </w:r>
      <w:r>
        <w:rPr>
          <w:rFonts w:ascii="Times New Roman" w:hAnsi="Times New Roman" w:cs="Times New Roman"/>
          <w:b/>
        </w:rPr>
        <w:t xml:space="preserve">Сосновское</w:t>
      </w:r>
      <w:r>
        <w:rPr>
          <w:rFonts w:ascii="Times New Roman" w:hAnsi="Times New Roman" w:cs="Times New Roman"/>
          <w:b/>
        </w:rPr>
        <w:t xml:space="preserve"> участковое лесничество,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spacing w:val="-12"/>
        </w:rPr>
        <w:t xml:space="preserve">квартал </w:t>
      </w:r>
      <w:r>
        <w:rPr>
          <w:rFonts w:ascii="Times New Roman" w:hAnsi="Times New Roman" w:cs="Times New Roman"/>
          <w:b/>
          <w:spacing w:val="-2"/>
        </w:rPr>
        <w:t xml:space="preserve">109, выдел</w:t>
      </w:r>
      <w:r>
        <w:rPr>
          <w:rFonts w:ascii="Times New Roman" w:hAnsi="Times New Roman" w:cs="Times New Roman"/>
          <w:b/>
          <w:spacing w:val="-2"/>
        </w:rPr>
        <w:t xml:space="preserve">а</w:t>
      </w:r>
      <w:r>
        <w:rPr>
          <w:rFonts w:ascii="Times New Roman" w:hAnsi="Times New Roman" w:cs="Times New Roman"/>
          <w:b/>
          <w:spacing w:val="-2"/>
        </w:rPr>
        <w:t xml:space="preserve"> </w:t>
      </w:r>
      <w:r>
        <w:rPr>
          <w:rFonts w:ascii="Times New Roman" w:hAnsi="Times New Roman" w:cs="Times New Roman"/>
          <w:b/>
          <w:spacing w:val="-2"/>
        </w:rPr>
        <w:t xml:space="preserve">26ч, 29ч, 30ч, 50ч, 51ч, 52ч, 53ч</w:t>
      </w:r>
      <w:r>
        <w:rPr>
          <w:rFonts w:ascii="Times New Roman" w:hAnsi="Times New Roman" w:cs="Times New Roman"/>
          <w:b/>
          <w:spacing w:val="-2"/>
        </w:rPr>
        <w:t xml:space="preserve">.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32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8"/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Извещение о проведении аукциона в электронной форме на право заключения договора аренды </w:t>
      </w:r>
      <w:r>
        <w:rPr>
          <w:rFonts w:ascii="Times New Roman" w:hAnsi="Times New Roman" w:cs="Times New Roman"/>
        </w:rPr>
        <w:t xml:space="preserve">лесного участка, находящегося в государственной собственности</w:t>
      </w:r>
      <w:r>
        <w:rPr>
          <w:rFonts w:ascii="Times New Roman" w:hAnsi="Times New Roman" w:cs="Times New Roman"/>
        </w:rPr>
        <w:t xml:space="preserve">,</w:t>
      </w:r>
      <w:r>
        <w:rPr>
          <w:rFonts w:ascii="Times New Roman" w:hAnsi="Times New Roman" w:cs="Times New Roman"/>
        </w:rPr>
        <w:t xml:space="preserve"> с кадастровым </w:t>
      </w:r>
      <w:r>
        <w:rPr>
          <w:rFonts w:ascii="Times New Roman" w:hAnsi="Times New Roman" w:cs="Times New Roman"/>
        </w:rPr>
        <w:t xml:space="preserve">номером </w:t>
      </w:r>
      <w:r>
        <w:rPr>
          <w:rFonts w:ascii="Times New Roman" w:hAnsi="Times New Roman" w:cs="Times New Roman"/>
          <w:b w:val="0"/>
          <w:bCs w:val="0"/>
        </w:rPr>
        <w:t xml:space="preserve">21:</w:t>
      </w:r>
      <w:r>
        <w:rPr>
          <w:rFonts w:ascii="Times New Roman" w:hAnsi="Times New Roman" w:cs="Times New Roman"/>
          <w:b w:val="0"/>
          <w:bCs w:val="0"/>
        </w:rPr>
        <w:t xml:space="preserve">01</w:t>
      </w:r>
      <w:r>
        <w:rPr>
          <w:rFonts w:ascii="Times New Roman" w:hAnsi="Times New Roman" w:cs="Times New Roman"/>
          <w:b w:val="0"/>
          <w:bCs w:val="0"/>
        </w:rPr>
        <w:t xml:space="preserve">:</w:t>
      </w:r>
      <w:r>
        <w:rPr>
          <w:rFonts w:ascii="Times New Roman" w:hAnsi="Times New Roman" w:cs="Times New Roman"/>
          <w:b w:val="0"/>
          <w:bCs w:val="0"/>
        </w:rPr>
        <w:t xml:space="preserve">040201:2232</w:t>
      </w:r>
      <w:r>
        <w:rPr>
          <w:rFonts w:ascii="Times New Roman" w:hAnsi="Times New Roman" w:cs="Times New Roman"/>
        </w:rPr>
        <w:t xml:space="preserve">,</w:t>
      </w:r>
      <w:r>
        <w:rPr>
          <w:rFonts w:ascii="Times New Roman" w:hAnsi="Times New Roman" w:cs="Times New Roman"/>
        </w:rPr>
        <w:t xml:space="preserve"> площадью </w:t>
      </w:r>
      <w:r>
        <w:rPr>
          <w:rFonts w:ascii="Times New Roman" w:hAnsi="Times New Roman" w:cs="Times New Roman"/>
        </w:rPr>
        <w:t xml:space="preserve">1,9497</w:t>
      </w:r>
      <w:r>
        <w:rPr>
          <w:rFonts w:ascii="Times New Roman" w:hAnsi="Times New Roman" w:cs="Times New Roman"/>
        </w:rPr>
        <w:t xml:space="preserve">га, расположенного по адресу: </w:t>
      </w:r>
      <w:r>
        <w:rPr>
          <w:rFonts w:ascii="Times New Roman" w:hAnsi="Times New Roman" w:cs="Times New Roman"/>
        </w:rPr>
        <w:t xml:space="preserve">Чувашская</w:t>
      </w:r>
      <w:r>
        <w:rPr>
          <w:rFonts w:ascii="Times New Roman" w:hAnsi="Times New Roman" w:cs="Times New Roman"/>
        </w:rPr>
        <w:t xml:space="preserve"> Республика</w:t>
      </w:r>
      <w:r>
        <w:rPr>
          <w:rFonts w:ascii="Times New Roman" w:hAnsi="Times New Roman" w:cs="Times New Roman"/>
        </w:rPr>
        <w:t xml:space="preserve">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Чебоксарский </w:t>
      </w:r>
      <w:r>
        <w:rPr>
          <w:rFonts w:ascii="Times New Roman" w:hAnsi="Times New Roman" w:cs="Times New Roman"/>
        </w:rPr>
        <w:t xml:space="preserve"> городской округ, </w:t>
      </w:r>
      <w:r>
        <w:rPr>
          <w:rFonts w:ascii="Times New Roman" w:hAnsi="Times New Roman" w:cs="Times New Roman"/>
        </w:rPr>
        <w:t xml:space="preserve">Чебоксарское</w:t>
      </w:r>
      <w:r>
        <w:rPr>
          <w:rFonts w:ascii="Times New Roman" w:hAnsi="Times New Roman" w:cs="Times New Roman"/>
        </w:rPr>
        <w:t xml:space="preserve"> лесничество, </w:t>
      </w:r>
      <w:r>
        <w:rPr>
          <w:rFonts w:ascii="Times New Roman" w:hAnsi="Times New Roman" w:cs="Times New Roman"/>
        </w:rPr>
        <w:t xml:space="preserve">Сосновское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участковое </w:t>
      </w:r>
      <w:r>
        <w:rPr>
          <w:rFonts w:ascii="Times New Roman" w:hAnsi="Times New Roman" w:cs="Times New Roman"/>
        </w:rPr>
        <w:t xml:space="preserve">лесничество, </w:t>
      </w:r>
      <w:r>
        <w:rPr>
          <w:rFonts w:ascii="Times New Roman" w:hAnsi="Times New Roman" w:cs="Times New Roman"/>
          <w:b w:val="0"/>
          <w:bCs w:val="0"/>
          <w:spacing w:val="-12"/>
        </w:rPr>
        <w:t xml:space="preserve">квартал </w:t>
      </w:r>
      <w:r>
        <w:rPr>
          <w:rFonts w:ascii="Times New Roman" w:hAnsi="Times New Roman" w:cs="Times New Roman"/>
          <w:b w:val="0"/>
          <w:bCs w:val="0"/>
          <w:spacing w:val="-2"/>
        </w:rPr>
        <w:t xml:space="preserve">109, выдел</w:t>
      </w:r>
      <w:r>
        <w:rPr>
          <w:rFonts w:ascii="Times New Roman" w:hAnsi="Times New Roman" w:cs="Times New Roman"/>
          <w:b w:val="0"/>
          <w:bCs w:val="0"/>
          <w:spacing w:val="-2"/>
        </w:rPr>
        <w:t xml:space="preserve">а</w:t>
      </w:r>
      <w:r>
        <w:rPr>
          <w:rFonts w:ascii="Times New Roman" w:hAnsi="Times New Roman" w:cs="Times New Roman"/>
          <w:b w:val="0"/>
          <w:bCs w:val="0"/>
          <w:spacing w:val="-2"/>
        </w:rPr>
        <w:t xml:space="preserve"> </w:t>
      </w:r>
      <w:r>
        <w:rPr>
          <w:rFonts w:ascii="Times New Roman" w:hAnsi="Times New Roman" w:cs="Times New Roman"/>
          <w:b w:val="0"/>
          <w:bCs w:val="0"/>
          <w:spacing w:val="-2"/>
        </w:rPr>
        <w:t xml:space="preserve">26ч, 29ч, 30ч, 50ч, 51ч, 52ч, 53ч</w:t>
      </w:r>
      <w:r>
        <w:rPr>
          <w:rFonts w:ascii="Times New Roman" w:hAnsi="Times New Roman" w:cs="Times New Roman"/>
          <w:b w:val="0"/>
          <w:bCs w:val="0"/>
          <w:spacing w:val="-2"/>
        </w:rPr>
        <w:t xml:space="preserve"> </w:t>
      </w:r>
      <w:r>
        <w:rPr>
          <w:rFonts w:ascii="Times New Roman" w:hAnsi="Times New Roman" w:cs="Times New Roman"/>
          <w:b w:val="0"/>
          <w:bCs w:val="0"/>
          <w:iCs/>
        </w:rPr>
        <w:t xml:space="preserve">н</w:t>
      </w:r>
      <w:r>
        <w:rPr>
          <w:rFonts w:ascii="Times New Roman" w:hAnsi="Times New Roman" w:cs="Times New Roman"/>
          <w:iCs/>
        </w:rPr>
        <w:t xml:space="preserve">а электронной торговой площадке </w:t>
      </w:r>
      <w:r>
        <w:rPr>
          <w:rFonts w:ascii="Times New Roman" w:hAnsi="Times New Roman" w:cs="Times New Roman"/>
          <w:iCs/>
        </w:rPr>
        <w:t xml:space="preserve">АО</w:t>
      </w:r>
      <w:r>
        <w:rPr>
          <w:rFonts w:ascii="Times New Roman" w:hAnsi="Times New Roman" w:cs="Times New Roman"/>
          <w:iCs/>
        </w:rPr>
        <w:t xml:space="preserve"> «Сбербанк-АСТ» (</w:t>
      </w:r>
      <w:r>
        <w:rPr>
          <w:rFonts w:ascii="Times New Roman" w:hAnsi="Times New Roman" w:cs="Times New Roman"/>
          <w:u w:val="single"/>
        </w:rPr>
        <w:t xml:space="preserve">http://www.</w:t>
      </w:r>
      <w:r>
        <w:rPr>
          <w:rFonts w:ascii="Times New Roman" w:hAnsi="Times New Roman" w:cs="Times New Roman"/>
          <w:iCs/>
          <w:u w:val="single"/>
          <w:lang w:val="en-US"/>
        </w:rPr>
        <w:t xml:space="preserve">utp</w:t>
      </w:r>
      <w:r>
        <w:rPr>
          <w:rFonts w:ascii="Times New Roman" w:hAnsi="Times New Roman" w:cs="Times New Roman"/>
          <w:iCs/>
          <w:u w:val="single"/>
        </w:rPr>
        <w:t xml:space="preserve">.</w:t>
      </w:r>
      <w:r>
        <w:rPr>
          <w:rFonts w:ascii="Times New Roman" w:hAnsi="Times New Roman" w:cs="Times New Roman"/>
          <w:iCs/>
          <w:u w:val="single"/>
          <w:lang w:val="en-US"/>
        </w:rPr>
        <w:t xml:space="preserve">sberbank</w:t>
      </w:r>
      <w:r>
        <w:rPr>
          <w:rFonts w:ascii="Times New Roman" w:hAnsi="Times New Roman" w:cs="Times New Roman"/>
          <w:iCs/>
          <w:u w:val="single"/>
        </w:rPr>
        <w:t xml:space="preserve">-</w:t>
      </w:r>
      <w:r>
        <w:rPr>
          <w:rFonts w:ascii="Times New Roman" w:hAnsi="Times New Roman" w:cs="Times New Roman"/>
          <w:iCs/>
          <w:u w:val="single"/>
          <w:lang w:val="en-US"/>
        </w:rPr>
        <w:t xml:space="preserve">ast</w:t>
      </w:r>
      <w:r>
        <w:rPr>
          <w:rFonts w:ascii="Times New Roman" w:hAnsi="Times New Roman" w:cs="Times New Roman"/>
          <w:iCs/>
          <w:u w:val="single"/>
        </w:rPr>
        <w:t xml:space="preserve">.</w:t>
      </w:r>
      <w:r>
        <w:rPr>
          <w:rFonts w:ascii="Times New Roman" w:hAnsi="Times New Roman" w:cs="Times New Roman"/>
          <w:iCs/>
          <w:u w:val="single"/>
          <w:lang w:val="en-US"/>
        </w:rPr>
        <w:t xml:space="preserve">ru</w:t>
      </w:r>
      <w:r>
        <w:rPr>
          <w:rFonts w:ascii="Times New Roman" w:hAnsi="Times New Roman" w:cs="Times New Roman"/>
          <w:iCs/>
        </w:rPr>
        <w:t xml:space="preserve">)</w:t>
      </w:r>
      <w:r>
        <w:rPr>
          <w:rFonts w:ascii="Times New Roman" w:hAnsi="Times New Roman" w:cs="Times New Roman"/>
          <w:iCs/>
        </w:rPr>
      </w:r>
      <w:r>
        <w:rPr>
          <w:rFonts w:ascii="Times New Roman" w:hAnsi="Times New Roman" w:cs="Times New Roman"/>
          <w:iCs/>
        </w:rPr>
      </w:r>
    </w:p>
    <w:p>
      <w:pPr>
        <w:pStyle w:val="832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 Организатор аукциона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2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Министерство природных ресурсов и экологии Чувашской Республики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567"/>
        <w:jc w:val="both"/>
        <w:rPr>
          <w:sz w:val="24"/>
          <w:szCs w:val="24"/>
        </w:rPr>
      </w:pPr>
      <w:r>
        <w:rPr>
          <w:iCs/>
          <w:sz w:val="24"/>
          <w:szCs w:val="24"/>
        </w:rPr>
        <w:t xml:space="preserve">Адрес: </w:t>
      </w:r>
      <w:r>
        <w:rPr>
          <w:sz w:val="24"/>
          <w:szCs w:val="24"/>
        </w:rPr>
        <w:t xml:space="preserve">428021, г. Ч</w:t>
      </w:r>
      <w:r>
        <w:rPr>
          <w:sz w:val="24"/>
          <w:szCs w:val="24"/>
        </w:rPr>
        <w:t xml:space="preserve">ебоксары, ул. Ленинградская, 33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Телефон: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8 (8352) </w:t>
      </w:r>
      <w:r>
        <w:rPr>
          <w:sz w:val="24"/>
          <w:szCs w:val="24"/>
        </w:rPr>
        <w:t xml:space="preserve">56-52-80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r>
        <w:rPr>
          <w:b/>
          <w:sz w:val="24"/>
          <w:szCs w:val="24"/>
        </w:rPr>
        <w:t xml:space="preserve">Реквизиты решения о проведении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а</w:t>
      </w:r>
      <w:r>
        <w:rPr>
          <w:b/>
          <w:sz w:val="24"/>
          <w:szCs w:val="24"/>
        </w:rPr>
        <w:t xml:space="preserve">укциона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2"/>
        <w:ind w:firstLine="567"/>
        <w:jc w:val="both"/>
        <w:rPr>
          <w:rFonts w:ascii="Tinos" w:hAnsi="Tinos" w:cs="Tinos"/>
          <w:sz w:val="24"/>
          <w:szCs w:val="24"/>
        </w:rPr>
      </w:pP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татьи 79, 80 Лес</w:t>
      </w:r>
      <w:r>
        <w:rPr>
          <w:rFonts w:ascii="Tinos" w:hAnsi="Tinos" w:eastAsia="Tinos" w:cs="Tinos"/>
          <w:sz w:val="24"/>
          <w:szCs w:val="24"/>
        </w:rPr>
        <w:t xml:space="preserve">ного</w:t>
      </w:r>
      <w:r>
        <w:rPr>
          <w:rFonts w:ascii="Tinos" w:hAnsi="Tinos" w:eastAsia="Tinos" w:cs="Tinos"/>
          <w:sz w:val="24"/>
          <w:szCs w:val="24"/>
        </w:rPr>
        <w:t xml:space="preserve"> кодекса Российской Федерации, Положение о Министерстве природных ресурсов и экологии Чувашской Республики, утвержденное постановлением Кабинета Министров Чувашской Республики от 21 октября 2015 г. № 370 «Вопросы Министерства природных ресурсов и экологии </w:t>
      </w:r>
      <w:r>
        <w:rPr>
          <w:rFonts w:ascii="Tinos" w:hAnsi="Tinos" w:eastAsia="Tinos" w:cs="Tinos"/>
          <w:color w:val="000000"/>
          <w:sz w:val="24"/>
          <w:szCs w:val="24"/>
        </w:rPr>
        <w:t xml:space="preserve">Чувашской</w:t>
      </w:r>
      <w:r>
        <w:rPr>
          <w:rFonts w:ascii="Tinos" w:hAnsi="Tinos" w:eastAsia="Tinos" w:cs="Tinos"/>
          <w:sz w:val="24"/>
          <w:szCs w:val="24"/>
        </w:rPr>
        <w:t xml:space="preserve"> Республики»</w:t>
      </w:r>
      <w:r>
        <w:rPr>
          <w:rFonts w:ascii="Tinos" w:hAnsi="Tinos" w:eastAsia="Tinos" w:cs="Tinos"/>
          <w:sz w:val="24"/>
          <w:szCs w:val="24"/>
        </w:rPr>
        <w:t xml:space="preserve">,</w:t>
      </w:r>
      <w:r>
        <w:rPr>
          <w:rFonts w:ascii="Tinos" w:hAnsi="Tinos" w:eastAsia="Tinos" w:cs="Tinos"/>
          <w:sz w:val="24"/>
          <w:szCs w:val="24"/>
        </w:rPr>
        <w:t xml:space="preserve"> приказ Минприроды </w:t>
      </w:r>
      <w:r>
        <w:rPr>
          <w:rFonts w:ascii="Tinos" w:hAnsi="Tinos" w:eastAsia="Tinos" w:cs="Tinos"/>
          <w:color w:val="000000"/>
          <w:sz w:val="24"/>
          <w:szCs w:val="24"/>
        </w:rPr>
        <w:t xml:space="preserve">Чувашии </w:t>
      </w:r>
      <w:r>
        <w:rPr>
          <w:rFonts w:ascii="Tinos" w:hAnsi="Tinos" w:eastAsia="Tinos" w:cs="Tinos"/>
          <w:color w:val="000000"/>
          <w:sz w:val="24"/>
          <w:szCs w:val="24"/>
        </w:rPr>
        <w:t xml:space="preserve">от «</w:t>
      </w:r>
      <w:r>
        <w:rPr>
          <w:rFonts w:ascii="Tinos" w:hAnsi="Tinos" w:eastAsia="Tinos" w:cs="Tinos"/>
          <w:color w:val="000000"/>
          <w:sz w:val="24"/>
          <w:szCs w:val="24"/>
        </w:rPr>
        <w:t xml:space="preserve"> 14 »</w:t>
      </w:r>
      <w:r>
        <w:rPr>
          <w:rFonts w:ascii="Tinos" w:hAnsi="Tinos" w:eastAsia="Tinos" w:cs="Tinos"/>
          <w:color w:val="000000"/>
          <w:sz w:val="24"/>
          <w:szCs w:val="24"/>
        </w:rPr>
        <w:t xml:space="preserve">  февраля </w:t>
      </w:r>
      <w:r>
        <w:rPr>
          <w:rFonts w:ascii="Tinos" w:hAnsi="Tinos" w:eastAsia="Tinos" w:cs="Tinos"/>
          <w:color w:val="000000"/>
          <w:sz w:val="24"/>
          <w:szCs w:val="24"/>
        </w:rPr>
        <w:t xml:space="preserve">202</w:t>
      </w:r>
      <w:r>
        <w:rPr>
          <w:rFonts w:ascii="Tinos" w:hAnsi="Tinos" w:eastAsia="Tinos" w:cs="Tinos"/>
          <w:color w:val="000000"/>
          <w:sz w:val="24"/>
          <w:szCs w:val="24"/>
        </w:rPr>
        <w:t xml:space="preserve">5 г</w:t>
      </w:r>
      <w:r>
        <w:rPr>
          <w:rFonts w:ascii="Tinos" w:hAnsi="Tinos" w:eastAsia="Tinos" w:cs="Tinos"/>
          <w:color w:val="000000"/>
          <w:sz w:val="24"/>
          <w:szCs w:val="24"/>
        </w:rPr>
        <w:t xml:space="preserve">. </w:t>
      </w:r>
      <w:r>
        <w:rPr>
          <w:rFonts w:ascii="Tinos" w:hAnsi="Tinos" w:eastAsia="Tinos" w:cs="Tinos"/>
          <w:color w:val="000000"/>
          <w:sz w:val="24"/>
          <w:szCs w:val="24"/>
        </w:rPr>
        <w:t xml:space="preserve">№</w:t>
      </w:r>
      <w:r>
        <w:rPr>
          <w:rFonts w:ascii="Tinos" w:hAnsi="Tinos" w:eastAsia="Tinos" w:cs="Tinos"/>
          <w:color w:val="000000"/>
          <w:sz w:val="24"/>
          <w:szCs w:val="24"/>
        </w:rPr>
        <w:t xml:space="preserve"> </w:t>
      </w:r>
      <w:r>
        <w:rPr>
          <w:rFonts w:ascii="Tinos" w:hAnsi="Tinos" w:cs="Tinos"/>
          <w:sz w:val="24"/>
          <w:szCs w:val="24"/>
        </w:rPr>
        <w:t xml:space="preserve">79</w:t>
      </w:r>
      <w:r>
        <w:rPr>
          <w:rFonts w:ascii="Tinos" w:hAnsi="Tinos" w:cs="Tinos"/>
          <w:sz w:val="24"/>
          <w:szCs w:val="24"/>
        </w:rPr>
      </w:r>
    </w:p>
    <w:p>
      <w:pPr>
        <w:pStyle w:val="83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b/>
          <w:sz w:val="24"/>
          <w:szCs w:val="24"/>
        </w:rPr>
        <w:t xml:space="preserve">3</w:t>
      </w:r>
      <w:r>
        <w:rPr>
          <w:rFonts w:ascii="Tinos" w:hAnsi="Tinos" w:eastAsia="Tinos" w:cs="Tinos"/>
          <w:b/>
          <w:sz w:val="24"/>
          <w:szCs w:val="24"/>
        </w:rPr>
        <w:t xml:space="preserve">. Предмет аукциона</w:t>
      </w:r>
      <w:r>
        <w:rPr>
          <w:rFonts w:ascii="Tinos" w:hAnsi="Tinos" w:eastAsia="Tinos" w:cs="Tinos"/>
          <w:b/>
          <w:sz w:val="24"/>
          <w:szCs w:val="24"/>
        </w:rPr>
        <w:t xml:space="preserve"> -</w:t>
      </w:r>
      <w:r>
        <w:rPr>
          <w:rFonts w:ascii="Tinos" w:hAnsi="Tinos" w:eastAsia="Tinos" w:cs="Tinos"/>
          <w:b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  <w:t xml:space="preserve">право заключения договора аренды лесного участка, находящегося в государственной собственности</w:t>
      </w:r>
      <w:r>
        <w:rPr>
          <w:rFonts w:ascii="Tinos" w:hAnsi="Tinos" w:eastAsia="Tinos" w:cs="Tinos"/>
          <w:sz w:val="24"/>
          <w:szCs w:val="24"/>
        </w:rPr>
        <w:t xml:space="preserve"> с кадастровым </w:t>
      </w:r>
      <w:r>
        <w:rPr>
          <w:rFonts w:ascii="Tinos" w:hAnsi="Tinos" w:eastAsia="Tinos" w:cs="Tinos"/>
          <w:sz w:val="24"/>
          <w:szCs w:val="24"/>
        </w:rPr>
        <w:t xml:space="preserve">номером </w:t>
      </w:r>
      <w:r>
        <w:rPr>
          <w:rFonts w:ascii="Tinos" w:hAnsi="Tinos" w:eastAsia="Tinos" w:cs="Tinos"/>
          <w:b w:val="0"/>
          <w:bCs w:val="0"/>
          <w:sz w:val="24"/>
          <w:szCs w:val="24"/>
        </w:rPr>
        <w:t xml:space="preserve">21:</w:t>
      </w:r>
      <w:r>
        <w:rPr>
          <w:rFonts w:ascii="Tinos" w:hAnsi="Tinos" w:eastAsia="Tinos" w:cs="Tinos"/>
          <w:b w:val="0"/>
          <w:bCs w:val="0"/>
          <w:sz w:val="24"/>
          <w:szCs w:val="24"/>
        </w:rPr>
        <w:t xml:space="preserve">01</w:t>
      </w:r>
      <w:r>
        <w:rPr>
          <w:rFonts w:ascii="Tinos" w:hAnsi="Tinos" w:eastAsia="Tinos" w:cs="Tinos"/>
          <w:b w:val="0"/>
          <w:bCs w:val="0"/>
          <w:sz w:val="24"/>
          <w:szCs w:val="24"/>
        </w:rPr>
        <w:t xml:space="preserve">:</w:t>
      </w:r>
      <w:r>
        <w:rPr>
          <w:rFonts w:ascii="Tinos" w:hAnsi="Tinos" w:eastAsia="Tinos" w:cs="Tinos"/>
          <w:b w:val="0"/>
          <w:bCs w:val="0"/>
          <w:sz w:val="24"/>
          <w:szCs w:val="24"/>
        </w:rPr>
        <w:t xml:space="preserve">040201:2232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  <w:t xml:space="preserve">площадью </w:t>
      </w:r>
      <w:r>
        <w:rPr>
          <w:rFonts w:ascii="Tinos" w:hAnsi="Tinos" w:eastAsia="Tinos" w:cs="Tinos"/>
          <w:sz w:val="24"/>
          <w:szCs w:val="24"/>
        </w:rPr>
        <w:t xml:space="preserve">1,9497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  <w:t xml:space="preserve">га</w:t>
      </w:r>
      <w:r>
        <w:rPr>
          <w:rFonts w:ascii="Tinos" w:hAnsi="Tinos" w:eastAsia="Tinos" w:cs="Tinos"/>
          <w:sz w:val="24"/>
          <w:szCs w:val="24"/>
        </w:rPr>
        <w:t xml:space="preserve">, для </w:t>
      </w:r>
      <w:r>
        <w:rPr>
          <w:rFonts w:ascii="Tinos" w:hAnsi="Tinos" w:eastAsia="Tinos" w:cs="Tinos"/>
          <w:sz w:val="24"/>
          <w:szCs w:val="24"/>
        </w:rPr>
        <w:t xml:space="preserve">осуществления рекреационной деятельности</w:t>
      </w:r>
      <w:r>
        <w:rPr>
          <w:rFonts w:ascii="Tinos" w:hAnsi="Tinos" w:eastAsia="Tinos" w:cs="Tinos"/>
          <w:sz w:val="24"/>
          <w:szCs w:val="24"/>
        </w:rPr>
        <w:t xml:space="preserve">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832"/>
        <w:ind w:firstLine="567"/>
        <w:jc w:val="both"/>
        <w:rPr>
          <w:rFonts w:ascii="Tinos" w:hAnsi="Tinos" w:cs="Tinos"/>
          <w:b/>
          <w:sz w:val="24"/>
          <w:szCs w:val="24"/>
        </w:rPr>
      </w:pPr>
      <w:r>
        <w:rPr>
          <w:rFonts w:ascii="Tinos" w:hAnsi="Tinos" w:eastAsia="Tinos" w:cs="Tinos"/>
          <w:b/>
          <w:sz w:val="24"/>
          <w:szCs w:val="24"/>
        </w:rPr>
        <w:t xml:space="preserve">4.</w:t>
      </w:r>
      <w:r>
        <w:rPr>
          <w:rFonts w:ascii="Tinos" w:hAnsi="Tinos" w:eastAsia="Tinos" w:cs="Tinos"/>
          <w:b/>
          <w:sz w:val="24"/>
          <w:szCs w:val="24"/>
        </w:rPr>
        <w:t xml:space="preserve"> </w:t>
      </w:r>
      <w:r>
        <w:rPr>
          <w:rFonts w:ascii="Tinos" w:hAnsi="Tinos" w:eastAsia="Tinos" w:cs="Tinos"/>
          <w:b/>
          <w:sz w:val="24"/>
          <w:szCs w:val="24"/>
        </w:rPr>
        <w:t xml:space="preserve">Сведения о лесном участке </w:t>
      </w:r>
      <w:r>
        <w:rPr>
          <w:rFonts w:ascii="Tinos" w:hAnsi="Tinos" w:cs="Tinos"/>
          <w:b/>
          <w:sz w:val="24"/>
          <w:szCs w:val="24"/>
        </w:rPr>
      </w:r>
      <w:r>
        <w:rPr>
          <w:rFonts w:ascii="Tinos" w:hAnsi="Tinos" w:cs="Tinos"/>
          <w:b/>
          <w:sz w:val="24"/>
          <w:szCs w:val="24"/>
        </w:rPr>
      </w:r>
    </w:p>
    <w:p>
      <w:pPr>
        <w:pStyle w:val="838"/>
        <w:rPr>
          <w:rFonts w:ascii="Tinos" w:hAnsi="Tinos" w:cs="Tinos"/>
          <w:spacing w:val="-2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Лесной участок </w:t>
      </w:r>
      <w:r>
        <w:rPr>
          <w:rFonts w:ascii="Tinos" w:hAnsi="Tinos" w:eastAsia="Tinos" w:cs="Tinos"/>
          <w:sz w:val="24"/>
          <w:szCs w:val="24"/>
        </w:rPr>
        <w:t xml:space="preserve">с кадастровым номером </w:t>
      </w:r>
      <w:r>
        <w:rPr>
          <w:rFonts w:ascii="Tinos" w:hAnsi="Tinos" w:eastAsia="Tinos" w:cs="Tinos"/>
          <w:b w:val="0"/>
          <w:bCs w:val="0"/>
          <w:sz w:val="24"/>
          <w:szCs w:val="24"/>
        </w:rPr>
        <w:t xml:space="preserve">21:</w:t>
      </w:r>
      <w:r>
        <w:rPr>
          <w:rFonts w:ascii="Tinos" w:hAnsi="Tinos" w:eastAsia="Tinos" w:cs="Tinos"/>
          <w:b w:val="0"/>
          <w:bCs w:val="0"/>
          <w:sz w:val="24"/>
          <w:szCs w:val="24"/>
        </w:rPr>
        <w:t xml:space="preserve">01</w:t>
      </w:r>
      <w:r>
        <w:rPr>
          <w:rFonts w:ascii="Tinos" w:hAnsi="Tinos" w:eastAsia="Tinos" w:cs="Tinos"/>
          <w:b w:val="0"/>
          <w:bCs w:val="0"/>
          <w:sz w:val="24"/>
          <w:szCs w:val="24"/>
        </w:rPr>
        <w:t xml:space="preserve">:</w:t>
      </w:r>
      <w:r>
        <w:rPr>
          <w:rFonts w:ascii="Tinos" w:hAnsi="Tinos" w:eastAsia="Tinos" w:cs="Tinos"/>
          <w:b w:val="0"/>
          <w:bCs w:val="0"/>
          <w:sz w:val="24"/>
          <w:szCs w:val="24"/>
        </w:rPr>
        <w:t xml:space="preserve">040201:2232</w:t>
      </w:r>
      <w:r>
        <w:rPr>
          <w:rFonts w:ascii="Tinos" w:hAnsi="Tinos" w:eastAsia="Tinos" w:cs="Tinos"/>
          <w:sz w:val="24"/>
          <w:szCs w:val="24"/>
        </w:rPr>
        <w:t xml:space="preserve">, площадью </w:t>
      </w:r>
      <w:r>
        <w:rPr>
          <w:rFonts w:ascii="Times New Roman" w:hAnsi="Times New Roman" w:cs="Times New Roman"/>
        </w:rPr>
        <w:t xml:space="preserve">1,9497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  <w:t xml:space="preserve">га, расп</w:t>
      </w:r>
      <w:r>
        <w:rPr>
          <w:rFonts w:ascii="Tinos" w:hAnsi="Tinos" w:eastAsia="Tinos" w:cs="Tinos"/>
          <w:sz w:val="24"/>
          <w:szCs w:val="24"/>
        </w:rPr>
        <w:t xml:space="preserve">оложен</w:t>
      </w:r>
      <w:r>
        <w:rPr>
          <w:rFonts w:ascii="Tinos" w:hAnsi="Tinos" w:eastAsia="Tinos" w:cs="Tinos"/>
          <w:sz w:val="24"/>
          <w:szCs w:val="24"/>
        </w:rPr>
        <w:t xml:space="preserve"> по адресу: </w:t>
      </w:r>
      <w:r>
        <w:rPr>
          <w:rFonts w:ascii="Tinos" w:hAnsi="Tinos" w:eastAsia="Tinos" w:cs="Tinos"/>
          <w:sz w:val="24"/>
          <w:szCs w:val="24"/>
        </w:rPr>
        <w:t xml:space="preserve">Чувашская Республика</w:t>
      </w:r>
      <w:r>
        <w:rPr>
          <w:rFonts w:ascii="Tinos" w:hAnsi="Tinos" w:eastAsia="Tinos" w:cs="Tinos"/>
          <w:sz w:val="24"/>
          <w:szCs w:val="24"/>
        </w:rPr>
        <w:t xml:space="preserve">,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  <w:t xml:space="preserve">Чебоксарский городской округ, </w:t>
      </w:r>
      <w:r>
        <w:rPr>
          <w:rFonts w:ascii="Tinos" w:hAnsi="Tinos" w:eastAsia="Tinos" w:cs="Tinos"/>
          <w:sz w:val="24"/>
          <w:szCs w:val="24"/>
        </w:rPr>
        <w:t xml:space="preserve">Чебоксарское лесничество, Сосновское участковое лесничество, </w:t>
      </w:r>
      <w:r>
        <w:rPr>
          <w:rFonts w:ascii="Times New Roman" w:hAnsi="Times New Roman" w:cs="Times New Roman"/>
          <w:b w:val="0"/>
          <w:bCs w:val="0"/>
          <w:spacing w:val="-12"/>
        </w:rPr>
        <w:t xml:space="preserve">квартал </w:t>
      </w:r>
      <w:r>
        <w:rPr>
          <w:rFonts w:ascii="Times New Roman" w:hAnsi="Times New Roman" w:cs="Times New Roman"/>
          <w:b w:val="0"/>
          <w:bCs w:val="0"/>
          <w:spacing w:val="-2"/>
        </w:rPr>
        <w:t xml:space="preserve">109, выдел</w:t>
      </w:r>
      <w:r>
        <w:rPr>
          <w:rFonts w:ascii="Times New Roman" w:hAnsi="Times New Roman" w:cs="Times New Roman"/>
          <w:b w:val="0"/>
          <w:bCs w:val="0"/>
          <w:spacing w:val="-2"/>
        </w:rPr>
        <w:t xml:space="preserve">а</w:t>
      </w:r>
      <w:r>
        <w:rPr>
          <w:rFonts w:ascii="Times New Roman" w:hAnsi="Times New Roman" w:cs="Times New Roman"/>
          <w:b w:val="0"/>
          <w:bCs w:val="0"/>
          <w:spacing w:val="-2"/>
        </w:rPr>
        <w:t xml:space="preserve"> </w:t>
      </w:r>
      <w:r>
        <w:rPr>
          <w:rFonts w:ascii="Times New Roman" w:hAnsi="Times New Roman" w:cs="Times New Roman"/>
          <w:b w:val="0"/>
          <w:bCs w:val="0"/>
          <w:spacing w:val="-2"/>
        </w:rPr>
        <w:t xml:space="preserve">26ч, 29ч, 30ч, 50ч, 51ч, 52ч, 53ч</w:t>
      </w:r>
      <w:r>
        <w:rPr>
          <w:rFonts w:ascii="Tinos" w:hAnsi="Tinos" w:eastAsia="Tinos" w:cs="Tinos"/>
          <w:spacing w:val="-2"/>
          <w:sz w:val="24"/>
          <w:szCs w:val="24"/>
        </w:rPr>
        <w:t xml:space="preserve">.</w:t>
      </w:r>
      <w:r>
        <w:rPr>
          <w:rFonts w:ascii="Tinos" w:hAnsi="Tinos" w:cs="Tinos"/>
          <w:spacing w:val="-2"/>
          <w:sz w:val="24"/>
          <w:szCs w:val="24"/>
        </w:rPr>
      </w:r>
      <w:r>
        <w:rPr>
          <w:rFonts w:ascii="Tinos" w:hAnsi="Tinos" w:cs="Tinos"/>
          <w:spacing w:val="-2"/>
          <w:sz w:val="24"/>
          <w:szCs w:val="24"/>
        </w:rPr>
      </w:r>
    </w:p>
    <w:p>
      <w:pPr>
        <w:pStyle w:val="838"/>
        <w:ind w:left="0" w:right="0" w:firstLine="567"/>
        <w:rPr>
          <w:rFonts w:ascii="Times New Roman" w:hAnsi="Times New Roman" w:cs="Times New Roman"/>
        </w:rPr>
      </w:pPr>
      <w:r>
        <w:rPr>
          <w:rFonts w:ascii="Tinos" w:hAnsi="Tinos" w:eastAsia="Tinos" w:cs="Tinos"/>
          <w:sz w:val="24"/>
          <w:szCs w:val="24"/>
        </w:rPr>
        <w:t xml:space="preserve">С</w:t>
      </w:r>
      <w:r>
        <w:rPr>
          <w:rFonts w:ascii="Tinos" w:hAnsi="Tinos" w:eastAsia="Tinos" w:cs="Tinos"/>
          <w:sz w:val="24"/>
          <w:szCs w:val="24"/>
        </w:rPr>
        <w:t xml:space="preserve">обственник лесного участка: Российская Федераци</w:t>
      </w:r>
      <w:r>
        <w:rPr>
          <w:rFonts w:ascii="Times New Roman" w:hAnsi="Times New Roman" w:cs="Times New Roman"/>
        </w:rPr>
        <w:t xml:space="preserve">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2"/>
        <w:ind w:firstLine="567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Обременения: </w:t>
      </w:r>
      <w:r>
        <w:rPr>
          <w:sz w:val="24"/>
          <w:szCs w:val="24"/>
        </w:rPr>
        <w:t xml:space="preserve">нет.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Ограничения: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</w:t>
      </w:r>
      <w:r>
        <w:rPr>
          <w:sz w:val="24"/>
          <w:szCs w:val="24"/>
        </w:rPr>
        <w:t xml:space="preserve">оответствии с п.5 перечня некапитальных строений, сооружений, не связанных с созданием лесной инфраструктуры, для защитных лесов, эксплуатационных лесов, резервных лесов, утвержденных распоряжением Правительства Российской Федерации от 23 апреля 2022 г. № </w:t>
      </w:r>
      <w:r>
        <w:rPr>
          <w:sz w:val="24"/>
          <w:szCs w:val="24"/>
        </w:rPr>
        <w:t xml:space="preserve">999-р и перечня объектов, капитального строительства, не связанных с созданием лесной инфраструктуры, для защитных лесов, эксплуатационных лесов, резервных лесов, утвержденных распоряжением Правительства Российской Федерации от 30 апреля 2022 г. № 1084-р, </w:t>
      </w:r>
      <w:r>
        <w:rPr>
          <w:sz w:val="24"/>
          <w:szCs w:val="24"/>
          <w:u w:val="single"/>
        </w:rPr>
        <w:t xml:space="preserve">размещение объектов капитальных строений, некапитальных строений, сооружений</w:t>
      </w:r>
      <w:r>
        <w:rPr>
          <w:sz w:val="24"/>
          <w:szCs w:val="24"/>
        </w:rPr>
        <w:t xml:space="preserve">, не связанных с созданием лесной инфраструктуры, на особо защитных участках лесов </w:t>
      </w:r>
      <w:r>
        <w:rPr>
          <w:sz w:val="24"/>
          <w:szCs w:val="24"/>
          <w:u w:val="single"/>
        </w:rPr>
        <w:t xml:space="preserve">не предусмотрено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567"/>
        <w:jc w:val="both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Выписка из ЕГРН в отношении лесного участка приведена в приложении 2 к документации об аукционе в электронной форме.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567"/>
        <w:jc w:val="both"/>
        <w:tabs>
          <w:tab w:val="left" w:pos="201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5. </w:t>
      </w:r>
      <w:r>
        <w:rPr>
          <w:b/>
          <w:sz w:val="24"/>
          <w:szCs w:val="24"/>
        </w:rPr>
        <w:t xml:space="preserve">Виды и параметры разрешенного использования лесов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2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и параметры разрешенного использования лесов указаны в проектной документации лесного участка (приложение 1 к документации об аукционе в электронной форме).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 Место, дата и время проведения аукциона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2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Аукцион проводится в электронной форме и является открытым по составу участников.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left="284" w:firstLine="283"/>
        <w:jc w:val="both"/>
        <w:rPr>
          <w:sz w:val="24"/>
          <w:szCs w:val="24"/>
        </w:rPr>
      </w:pPr>
      <w:r>
        <w:rPr>
          <w:iCs/>
          <w:sz w:val="24"/>
          <w:szCs w:val="24"/>
        </w:rPr>
        <w:t xml:space="preserve">Информация о проведении аукциона размещается </w:t>
      </w:r>
      <w:r>
        <w:rPr>
          <w:sz w:val="24"/>
          <w:szCs w:val="24"/>
        </w:rPr>
        <w:t xml:space="preserve">в информационно-коммуникационной сети «Интернет» для размещения информации о проведении торгов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"http://www.torgi.gov.ru" </w:instrText>
      </w:r>
      <w:r>
        <w:rPr>
          <w:sz w:val="24"/>
          <w:szCs w:val="24"/>
        </w:rPr>
        <w:fldChar w:fldCharType="separate"/>
      </w:r>
      <w:r>
        <w:rPr>
          <w:rStyle w:val="840"/>
          <w:color w:val="000000"/>
          <w:sz w:val="24"/>
          <w:szCs w:val="24"/>
        </w:rPr>
        <w:t xml:space="preserve">http://www.torgi.gov.ru</w:t>
      </w:r>
      <w:r>
        <w:rPr>
          <w:rStyle w:val="840"/>
          <w:color w:val="000000"/>
          <w:sz w:val="24"/>
          <w:szCs w:val="24"/>
        </w:rPr>
        <w:fldChar w:fldCharType="end"/>
      </w:r>
      <w:r>
        <w:rPr>
          <w:rStyle w:val="840"/>
          <w:color w:val="000000"/>
          <w:sz w:val="24"/>
          <w:szCs w:val="24"/>
          <w:u w:val="none"/>
        </w:rPr>
        <w:t xml:space="preserve">, </w:t>
      </w:r>
      <w:r>
        <w:rPr>
          <w:rStyle w:val="840"/>
          <w:color w:val="000000"/>
          <w:sz w:val="24"/>
          <w:szCs w:val="24"/>
          <w:u w:val="none"/>
        </w:rPr>
        <w:t xml:space="preserve">на </w:t>
      </w:r>
      <w:r>
        <w:rPr>
          <w:sz w:val="24"/>
          <w:szCs w:val="24"/>
        </w:rPr>
        <w:t xml:space="preserve">электронной торговой площадке </w:t>
      </w:r>
      <w:r>
        <w:rPr>
          <w:iCs/>
          <w:sz w:val="24"/>
          <w:szCs w:val="24"/>
        </w:rPr>
        <w:t xml:space="preserve">АО «Сбербанк-АСТ»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http://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"http://www.sberbank-ast.ru/" </w:instrText>
      </w:r>
      <w:r>
        <w:rPr>
          <w:sz w:val="24"/>
          <w:szCs w:val="24"/>
        </w:rPr>
        <w:fldChar w:fldCharType="separate"/>
      </w:r>
      <w:r>
        <w:rPr>
          <w:rStyle w:val="840"/>
          <w:color w:val="000000"/>
          <w:sz w:val="24"/>
          <w:szCs w:val="24"/>
        </w:rPr>
        <w:t xml:space="preserve">www.sberbank-ast.ru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, на официальном </w:t>
      </w:r>
      <w:r>
        <w:rPr>
          <w:sz w:val="24"/>
          <w:szCs w:val="24"/>
        </w:rPr>
        <w:t xml:space="preserve">сайте Минприроды Чувашии в информационно-телекоммуникационной сети «Интернет» </w:t>
      </w:r>
      <w:r>
        <w:rPr>
          <w:sz w:val="24"/>
          <w:szCs w:val="24"/>
        </w:rPr>
        <w:t xml:space="preserve">https://minpriroda.cap.ru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left="284" w:firstLine="283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Указанное в настоящей документации об аукционе время – московское.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32"/>
        <w:ind w:left="284" w:firstLine="283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При исчислении сроков принимается время сервера электронной торговой площадки – московское.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left="284" w:firstLine="283"/>
        <w:jc w:val="both"/>
        <w:tabs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Проведение аукциона</w:t>
      </w:r>
      <w:r>
        <w:rPr>
          <w:sz w:val="24"/>
          <w:szCs w:val="24"/>
        </w:rPr>
        <w:t xml:space="preserve"> (дата и время начала приема предло</w:t>
      </w:r>
      <w:r>
        <w:rPr>
          <w:sz w:val="24"/>
          <w:szCs w:val="24"/>
        </w:rPr>
        <w:t xml:space="preserve">жений о</w:t>
      </w:r>
      <w:r>
        <w:rPr>
          <w:sz w:val="24"/>
          <w:szCs w:val="24"/>
        </w:rPr>
        <w:t xml:space="preserve">т участников аукциона) 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17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апреля 202</w:t>
      </w:r>
      <w:r>
        <w:rPr>
          <w:sz w:val="24"/>
          <w:szCs w:val="24"/>
        </w:rPr>
        <w:t xml:space="preserve">5 г. в 09</w:t>
      </w:r>
      <w:r>
        <w:rPr>
          <w:sz w:val="24"/>
          <w:szCs w:val="24"/>
        </w:rPr>
        <w:t xml:space="preserve">ч. </w:t>
      </w:r>
      <w:r>
        <w:rPr>
          <w:sz w:val="24"/>
          <w:szCs w:val="24"/>
        </w:rPr>
        <w:t xml:space="preserve">0</w:t>
      </w:r>
      <w:r>
        <w:rPr>
          <w:sz w:val="24"/>
          <w:szCs w:val="24"/>
        </w:rPr>
        <w:t xml:space="preserve">0</w:t>
      </w:r>
      <w:r>
        <w:rPr>
          <w:sz w:val="24"/>
          <w:szCs w:val="24"/>
        </w:rPr>
        <w:t xml:space="preserve"> мин.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left="284" w:firstLine="283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Для обеспечения доступа к участию в аукционе в электронной форме заявителям необходимо пройти процедуру регистрации на электронной площадке.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Регистрация на электронной площадке проводится в соответствии с Регламентом электронной площадки.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7. Начальная цена предмета аукциона: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348 033</w:t>
      </w:r>
      <w:r>
        <w:rPr>
          <w:b/>
          <w:sz w:val="24"/>
          <w:szCs w:val="24"/>
        </w:rPr>
        <w:t xml:space="preserve"> руб</w:t>
      </w:r>
      <w:r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15 коп.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1"/>
        <w:ind w:left="284" w:firstLine="283"/>
        <w:jc w:val="both"/>
        <w:spacing w:after="0" w:line="240" w:lineRule="auto"/>
        <w:rPr>
          <w:b/>
          <w:lang w:val="ru-RU"/>
        </w:rPr>
      </w:pPr>
      <w:r>
        <w:rPr>
          <w:b/>
          <w:lang w:val="ru-RU"/>
        </w:rPr>
        <w:t xml:space="preserve">8</w:t>
      </w:r>
      <w:r>
        <w:rPr>
          <w:b/>
        </w:rPr>
        <w:t xml:space="preserve">. Величина повышения начальной цены предмета аукциона («шаг аукциона»)</w:t>
      </w:r>
      <w:r>
        <w:rPr>
          <w:b/>
          <w:lang w:val="ru-RU"/>
        </w:rPr>
        <w:t xml:space="preserve">:</w:t>
      </w:r>
      <w:r>
        <w:rPr>
          <w:b/>
          <w:lang w:val="ru-RU"/>
        </w:rPr>
      </w:r>
      <w:r>
        <w:rPr>
          <w:b/>
          <w:lang w:val="ru-RU"/>
        </w:rPr>
      </w:r>
    </w:p>
    <w:p>
      <w:pPr>
        <w:pStyle w:val="832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Устанавливается в размере 17 401</w:t>
      </w:r>
      <w:r>
        <w:rPr>
          <w:sz w:val="24"/>
          <w:szCs w:val="24"/>
        </w:rPr>
        <w:t xml:space="preserve"> руб. </w:t>
      </w:r>
      <w:r>
        <w:rPr>
          <w:sz w:val="24"/>
          <w:szCs w:val="24"/>
        </w:rPr>
        <w:t xml:space="preserve">65 </w:t>
      </w:r>
      <w:r>
        <w:rPr>
          <w:sz w:val="24"/>
          <w:szCs w:val="24"/>
        </w:rPr>
        <w:t xml:space="preserve">коп</w:t>
      </w:r>
      <w:r>
        <w:rPr>
          <w:sz w:val="24"/>
          <w:szCs w:val="24"/>
        </w:rPr>
        <w:t xml:space="preserve">. (5 % начальной цены предмета аукциона).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left="284" w:firstLine="283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9.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Форма заявки на участи</w:t>
      </w:r>
      <w:r>
        <w:rPr>
          <w:b/>
          <w:sz w:val="24"/>
          <w:szCs w:val="24"/>
        </w:rPr>
        <w:t xml:space="preserve">е в аукционе, порядок ее приема: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2"/>
        <w:ind w:left="284" w:firstLine="283"/>
        <w:jc w:val="both"/>
        <w:rPr>
          <w:sz w:val="24"/>
          <w:szCs w:val="24"/>
        </w:rPr>
      </w:pPr>
      <w:r>
        <w:rPr>
          <w:rStyle w:val="840"/>
          <w:color w:val="000000"/>
          <w:sz w:val="24"/>
          <w:szCs w:val="24"/>
          <w:u w:val="none"/>
        </w:rPr>
        <w:t xml:space="preserve">Заявка </w:t>
      </w:r>
      <w:r>
        <w:rPr>
          <w:sz w:val="24"/>
          <w:szCs w:val="24"/>
        </w:rPr>
        <w:t xml:space="preserve">на участие в аукционе </w:t>
      </w:r>
      <w:r>
        <w:rPr>
          <w:rStyle w:val="840"/>
          <w:color w:val="000000"/>
          <w:sz w:val="24"/>
          <w:szCs w:val="24"/>
          <w:u w:val="none"/>
        </w:rPr>
        <w:t xml:space="preserve">принимается на </w:t>
      </w:r>
      <w:r>
        <w:rPr>
          <w:sz w:val="24"/>
          <w:szCs w:val="24"/>
        </w:rPr>
        <w:t xml:space="preserve">электронной торговой площадке </w:t>
      </w:r>
      <w:r>
        <w:rPr>
          <w:iCs/>
          <w:sz w:val="24"/>
          <w:szCs w:val="24"/>
        </w:rPr>
        <w:t xml:space="preserve">АО «Сбербанк-АСТ»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http://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"http://www.sberbank-ast.ru/" </w:instrText>
      </w:r>
      <w:r>
        <w:rPr>
          <w:sz w:val="24"/>
          <w:szCs w:val="24"/>
        </w:rPr>
        <w:fldChar w:fldCharType="separate"/>
      </w:r>
      <w:r>
        <w:rPr>
          <w:rStyle w:val="840"/>
          <w:color w:val="000000"/>
          <w:sz w:val="24"/>
          <w:szCs w:val="24"/>
        </w:rPr>
        <w:t xml:space="preserve">www.sberbank-ast.ru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лицами,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зарегистрированными на электронной площадке.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К электронной форме заявки на участие в аукционе прилагается заявка по </w:t>
      </w:r>
      <w:r>
        <w:rPr>
          <w:sz w:val="24"/>
          <w:szCs w:val="24"/>
        </w:rPr>
        <w:t xml:space="preserve">форме приложени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№ 3</w:t>
      </w:r>
      <w:r>
        <w:rPr>
          <w:bCs/>
          <w:sz w:val="24"/>
          <w:szCs w:val="24"/>
        </w:rPr>
        <w:t xml:space="preserve"> к настоящей документации </w:t>
      </w:r>
      <w:r>
        <w:rPr>
          <w:sz w:val="24"/>
          <w:szCs w:val="24"/>
        </w:rPr>
        <w:t xml:space="preserve">об аукционе.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 участию в аукционе </w:t>
      </w:r>
      <w:r>
        <w:rPr>
          <w:bCs/>
          <w:sz w:val="24"/>
          <w:szCs w:val="24"/>
        </w:rPr>
        <w:t xml:space="preserve">в электронной форме</w:t>
      </w:r>
      <w:r>
        <w:rPr>
          <w:sz w:val="24"/>
          <w:szCs w:val="24"/>
        </w:rPr>
        <w:t xml:space="preserve"> не допускаются Заявители в следующих случаях: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left="284" w:firstLine="283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1) несоответствие представленной заявки на участие в аукционе требованиям, установленным 78 статьей Лесного кодекса РФ;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832"/>
        <w:ind w:left="284" w:firstLine="283"/>
        <w:jc w:val="both"/>
      </w:pPr>
      <w:r>
        <w:rPr>
          <w:rFonts w:eastAsia="Calibri"/>
          <w:sz w:val="24"/>
          <w:szCs w:val="24"/>
        </w:rPr>
        <w:t xml:space="preserve">2) представление заявки на участие в аукционе на право заключения договора аренды лесного участка лицом, которому в соответствии с </w:t>
      </w:r>
      <w:r>
        <w:rPr>
          <w:rFonts w:eastAsia="Calibri"/>
          <w:sz w:val="24"/>
          <w:szCs w:val="24"/>
        </w:rPr>
        <w:t xml:space="preserve">Лесным</w:t>
      </w:r>
      <w:r>
        <w:rPr>
          <w:rFonts w:eastAsia="Calibri"/>
          <w:sz w:val="24"/>
          <w:szCs w:val="24"/>
        </w:rPr>
        <w:t xml:space="preserve"> Кодексом, другими федеральными законами лесной участок не может быть предоставлен в аренду;</w:t>
      </w:r>
      <w:r/>
    </w:p>
    <w:p>
      <w:pPr>
        <w:pStyle w:val="832"/>
        <w:ind w:left="284" w:firstLine="283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3) представление заявки на участие в аукционе лицом, в отношении которого осуществляется проведение процедур, применяемых в деле о банкротстве;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832"/>
        <w:ind w:left="284" w:firstLine="283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4) нахождение заявителя - юридического лица в процессе ликвидации или принятие заявителем-гражданином решения о прекращении деятельности в качестве индивидуального предпринимателя;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832"/>
        <w:ind w:left="284" w:firstLine="283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5) непоступление задатка на счет, указанный в документации об аукционе, до окончания срока подачи заявок на участие в аукционе;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832"/>
        <w:ind w:left="284" w:firstLine="283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6) наличие заявителя в реестре недобросовестных арендаторов лесных участков </w:t>
      </w:r>
      <w:r>
        <w:rPr>
          <w:rFonts w:eastAsia="Calibri"/>
          <w:sz w:val="24"/>
          <w:szCs w:val="24"/>
        </w:rPr>
        <w:t xml:space="preserve">и покупателей лесных насаждений.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832"/>
        <w:ind w:firstLine="540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На один предмет аукциона заявитель вправе подать только одну заявку. Если в ходе аукциона проводятся торги по нескольким предметам аукциона, заявитель вправе подать по одной за</w:t>
      </w:r>
      <w:r>
        <w:rPr>
          <w:sz w:val="24"/>
          <w:szCs w:val="24"/>
        </w:rPr>
        <w:t xml:space="preserve">явке на каждый предмет аукцион.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832"/>
        <w:ind w:left="284" w:firstLine="283"/>
        <w:jc w:val="both"/>
        <w:tabs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Начало приема заявок</w:t>
      </w:r>
      <w:r>
        <w:rPr>
          <w:sz w:val="24"/>
          <w:szCs w:val="24"/>
        </w:rPr>
        <w:t xml:space="preserve"> на участие в аукционе – </w:t>
      </w:r>
      <w:r>
        <w:rPr>
          <w:sz w:val="24"/>
          <w:szCs w:val="24"/>
        </w:rPr>
        <w:t xml:space="preserve">10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марта </w:t>
      </w:r>
      <w:r>
        <w:rPr>
          <w:sz w:val="24"/>
          <w:szCs w:val="24"/>
        </w:rPr>
        <w:t xml:space="preserve">202</w:t>
      </w:r>
      <w:r>
        <w:rPr>
          <w:sz w:val="24"/>
          <w:szCs w:val="24"/>
        </w:rPr>
        <w:t xml:space="preserve">5 года в 09 ч. 0</w:t>
      </w:r>
      <w:r>
        <w:rPr>
          <w:sz w:val="24"/>
          <w:szCs w:val="24"/>
        </w:rPr>
        <w:t xml:space="preserve">0 мин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left="284" w:firstLine="283"/>
        <w:jc w:val="both"/>
        <w:tabs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Окончание приема заявок</w:t>
      </w:r>
      <w:r>
        <w:rPr>
          <w:sz w:val="24"/>
          <w:szCs w:val="24"/>
        </w:rPr>
        <w:t xml:space="preserve"> на участие в аукционе – </w:t>
      </w:r>
      <w:r>
        <w:rPr>
          <w:sz w:val="24"/>
          <w:szCs w:val="24"/>
        </w:rPr>
        <w:t xml:space="preserve">12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апреля 202</w:t>
      </w:r>
      <w:r>
        <w:rPr>
          <w:sz w:val="24"/>
          <w:szCs w:val="24"/>
        </w:rPr>
        <w:t xml:space="preserve">5 года в </w:t>
      </w:r>
      <w:r>
        <w:rPr>
          <w:sz w:val="24"/>
          <w:szCs w:val="24"/>
        </w:rPr>
        <w:t xml:space="preserve">0</w:t>
      </w:r>
      <w:r>
        <w:rPr>
          <w:sz w:val="24"/>
          <w:szCs w:val="24"/>
        </w:rPr>
        <w:t xml:space="preserve">9 ч. 00 мин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left="284" w:firstLine="283"/>
        <w:jc w:val="both"/>
        <w:tabs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Дата рассмотрения заявок </w:t>
      </w:r>
      <w:r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15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апреля 202</w:t>
      </w:r>
      <w:r>
        <w:rPr>
          <w:sz w:val="24"/>
          <w:szCs w:val="24"/>
        </w:rPr>
        <w:t xml:space="preserve">5 года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left="284" w:firstLine="424"/>
        <w:jc w:val="both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10. Инструкция </w:t>
      </w:r>
      <w:r>
        <w:rPr>
          <w:rFonts w:eastAsia="Calibri"/>
          <w:b/>
          <w:sz w:val="24"/>
          <w:szCs w:val="24"/>
        </w:rPr>
        <w:t xml:space="preserve">по заполнению заявки:</w:t>
      </w:r>
      <w:r>
        <w:rPr>
          <w:rFonts w:eastAsia="Calibri"/>
          <w:b/>
          <w:sz w:val="24"/>
          <w:szCs w:val="24"/>
        </w:rPr>
        <w:t xml:space="preserve"> </w:t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pStyle w:val="832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В заявке на участие в аукционе в электронной форме указываются: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  <w:t xml:space="preserve"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для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индивидуального предпринимателя - ф</w:t>
      </w:r>
      <w:r>
        <w:rPr>
          <w:rFonts w:ascii="Times New Roman" w:hAnsi="Times New Roman" w:cs="Times New Roman"/>
          <w:sz w:val="24"/>
          <w:szCs w:val="24"/>
        </w:rPr>
        <w:t xml:space="preserve">амилия, имя, отчество (последнее - при наличии), данные документа удостоверяющего личность, ИНН, место жительства, номер телефона, адрес электронной почты, банковские реквизиты заявителя;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для юридического лица - </w:t>
      </w:r>
      <w:r>
        <w:rPr>
          <w:rFonts w:ascii="Times New Roman" w:hAnsi="Times New Roman" w:cs="Times New Roman"/>
          <w:sz w:val="24"/>
          <w:szCs w:val="24"/>
        </w:rPr>
        <w:t xml:space="preserve">п</w:t>
      </w:r>
      <w:r>
        <w:rPr>
          <w:rFonts w:ascii="Times New Roman" w:hAnsi="Times New Roman" w:cs="Times New Roman"/>
          <w:sz w:val="24"/>
          <w:szCs w:val="24"/>
        </w:rPr>
        <w:t xml:space="preserve">олное наименование и его организационно-правовая форма, ИНН, местонахождение, юридический и фактический адреса, номер телефона, адрес электронной почты, </w:t>
      </w:r>
      <w:r>
        <w:rPr>
          <w:rFonts w:ascii="Times New Roman" w:hAnsi="Times New Roman" w:cs="Times New Roman"/>
          <w:sz w:val="24"/>
          <w:szCs w:val="24"/>
        </w:rPr>
        <w:t xml:space="preserve">банковские реквизиты;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дата проведения аукциона;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832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наименование лесничества, участкового лесничества, номер квартала(ов), номер выдела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(ов);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кадастровый номер лесного участка, обозначенный в аукционной документации;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общая площадь лесного участка, обозначенная в аукционной документации;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сумма внесенного задатка, срок аренды.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Полномочия представителей заявителей должны быть оформлены в соответствии с законодательством Российской Федерации.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8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1</w:t>
      </w:r>
      <w:r>
        <w:rPr>
          <w:rFonts w:ascii="Times New Roman" w:hAnsi="Times New Roman" w:cs="Times New Roman"/>
          <w:b/>
          <w:sz w:val="24"/>
          <w:szCs w:val="24"/>
        </w:rPr>
        <w:t xml:space="preserve">1</w:t>
      </w:r>
      <w:r>
        <w:rPr>
          <w:rFonts w:ascii="Times New Roman" w:hAnsi="Times New Roman" w:cs="Times New Roman"/>
          <w:b/>
          <w:sz w:val="24"/>
          <w:szCs w:val="24"/>
        </w:rPr>
        <w:t xml:space="preserve">. Сведения о задатке: </w:t>
      </w:r>
      <w:r>
        <w:rPr>
          <w:rFonts w:ascii="Times New Roman" w:hAnsi="Times New Roman" w:cs="Times New Roman"/>
          <w:sz w:val="24"/>
          <w:szCs w:val="24"/>
        </w:rPr>
        <w:t xml:space="preserve">Заявители вносят задаток в размере 100 %</w:t>
      </w:r>
      <w:r>
        <w:rPr>
          <w:rFonts w:ascii="Times New Roman" w:hAnsi="Times New Roman" w:cs="Times New Roman"/>
          <w:sz w:val="24"/>
          <w:szCs w:val="24"/>
        </w:rPr>
        <w:t xml:space="preserve"> от начальной цены предмета аукциона.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2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Задаток перечисляется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"http://utp.sberbank-ast.ru/AP/Notice/653/Requisites"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на банковские реквизиты </w:t>
      </w:r>
      <w:r>
        <w:rPr>
          <w:sz w:val="24"/>
          <w:szCs w:val="24"/>
        </w:rPr>
        <w:t xml:space="preserve">оператора электронной площадки </w:t>
      </w:r>
      <w:r>
        <w:rPr>
          <w:sz w:val="24"/>
          <w:szCs w:val="24"/>
        </w:rPr>
        <w:t xml:space="preserve">АО «Сбербанк-АСТ»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668"/>
        <w:gridCol w:w="2409"/>
        <w:gridCol w:w="5493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668" w:type="dxa"/>
            <w:vAlign w:val="top"/>
            <w:textDirection w:val="lrTb"/>
            <w:noWrap w:val="false"/>
          </w:tcPr>
          <w:p>
            <w:pPr>
              <w:pStyle w:val="832"/>
              <w:jc w:val="both"/>
              <w:tabs>
                <w:tab w:val="left" w:pos="709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Получатель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09" w:type="dxa"/>
            <w:vAlign w:val="top"/>
            <w:textDirection w:val="lrTb"/>
            <w:noWrap w:val="false"/>
          </w:tcPr>
          <w:p>
            <w:pPr>
              <w:pStyle w:val="832"/>
              <w:jc w:val="both"/>
              <w:tabs>
                <w:tab w:val="left" w:pos="709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vAlign w:val="top"/>
            <w:textDirection w:val="lrTb"/>
            <w:noWrap w:val="false"/>
          </w:tcPr>
          <w:p>
            <w:pPr>
              <w:pStyle w:val="832"/>
              <w:jc w:val="both"/>
              <w:tabs>
                <w:tab w:val="left" w:pos="709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АО «Сбербанк-АСТ»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668" w:type="dxa"/>
            <w:vAlign w:val="top"/>
            <w:textDirection w:val="lrTb"/>
            <w:noWrap w:val="false"/>
          </w:tcPr>
          <w:p>
            <w:pPr>
              <w:pStyle w:val="832"/>
              <w:jc w:val="both"/>
              <w:tabs>
                <w:tab w:val="left" w:pos="709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09" w:type="dxa"/>
            <w:vAlign w:val="top"/>
            <w:textDirection w:val="lrTb"/>
            <w:noWrap w:val="false"/>
          </w:tcPr>
          <w:p>
            <w:pPr>
              <w:pStyle w:val="832"/>
              <w:jc w:val="both"/>
              <w:tabs>
                <w:tab w:val="left" w:pos="709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ИНН / КПП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vAlign w:val="top"/>
            <w:textDirection w:val="lrTb"/>
            <w:noWrap w:val="false"/>
          </w:tcPr>
          <w:p>
            <w:pPr>
              <w:pStyle w:val="832"/>
              <w:jc w:val="both"/>
              <w:tabs>
                <w:tab w:val="left" w:pos="709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7707308480 / </w:t>
            </w:r>
            <w:r>
              <w:rPr>
                <w:color w:val="333333"/>
                <w:sz w:val="20"/>
                <w:szCs w:val="20"/>
              </w:rPr>
              <w:t xml:space="preserve">770701001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668" w:type="dxa"/>
            <w:vAlign w:val="top"/>
            <w:textDirection w:val="lrTb"/>
            <w:noWrap w:val="false"/>
          </w:tcPr>
          <w:p>
            <w:pPr>
              <w:pStyle w:val="832"/>
              <w:jc w:val="both"/>
              <w:tabs>
                <w:tab w:val="left" w:pos="709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09" w:type="dxa"/>
            <w:vAlign w:val="top"/>
            <w:textDirection w:val="lrTb"/>
            <w:noWrap w:val="false"/>
          </w:tcPr>
          <w:p>
            <w:pPr>
              <w:pStyle w:val="832"/>
              <w:jc w:val="both"/>
              <w:tabs>
                <w:tab w:val="left" w:pos="709" w:leader="none"/>
              </w:tabs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 xml:space="preserve">Расчетный счет</w:t>
            </w:r>
            <w:r>
              <w:rPr>
                <w:color w:val="333333"/>
                <w:sz w:val="20"/>
                <w:szCs w:val="20"/>
              </w:rPr>
            </w:r>
            <w:r>
              <w:rPr>
                <w:color w:val="333333"/>
                <w:sz w:val="20"/>
                <w:szCs w:val="20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vAlign w:val="top"/>
            <w:textDirection w:val="lrTb"/>
            <w:noWrap w:val="false"/>
          </w:tcPr>
          <w:p>
            <w:pPr>
              <w:pStyle w:val="832"/>
              <w:jc w:val="both"/>
              <w:tabs>
                <w:tab w:val="left" w:pos="709" w:leader="none"/>
              </w:tabs>
              <w:rPr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 xml:space="preserve">40702810300020038047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668" w:type="dxa"/>
            <w:vAlign w:val="bottom"/>
            <w:textDirection w:val="lrTb"/>
            <w:noWrap w:val="false"/>
          </w:tcPr>
          <w:p>
            <w:pPr>
              <w:pStyle w:val="832"/>
              <w:jc w:val="both"/>
              <w:spacing w:after="150"/>
              <w:tabs>
                <w:tab w:val="left" w:pos="709" w:leader="none"/>
              </w:tabs>
              <w:rPr>
                <w:color w:val="000000"/>
                <w:sz w:val="20"/>
                <w:szCs w:val="20"/>
              </w:rPr>
              <w:outlineLvl w:val="2"/>
            </w:pPr>
            <w:r>
              <w:rPr>
                <w:color w:val="000000"/>
                <w:sz w:val="20"/>
                <w:szCs w:val="20"/>
              </w:rPr>
              <w:t xml:space="preserve">Банк получателя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09" w:type="dxa"/>
            <w:vAlign w:val="bottom"/>
            <w:textDirection w:val="lrTb"/>
            <w:noWrap w:val="false"/>
          </w:tcPr>
          <w:p>
            <w:pPr>
              <w:pStyle w:val="832"/>
              <w:jc w:val="both"/>
              <w:tabs>
                <w:tab w:val="left" w:pos="709" w:leader="none"/>
              </w:tabs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 xml:space="preserve">Наименование банка</w:t>
            </w:r>
            <w:r>
              <w:rPr>
                <w:color w:val="333333"/>
                <w:sz w:val="20"/>
                <w:szCs w:val="20"/>
              </w:rPr>
            </w:r>
            <w:r>
              <w:rPr>
                <w:color w:val="333333"/>
                <w:sz w:val="20"/>
                <w:szCs w:val="20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vAlign w:val="bottom"/>
            <w:textDirection w:val="lrTb"/>
            <w:noWrap w:val="false"/>
          </w:tcPr>
          <w:p>
            <w:pPr>
              <w:pStyle w:val="832"/>
              <w:jc w:val="both"/>
              <w:tabs>
                <w:tab w:val="left" w:pos="709" w:leader="none"/>
              </w:tabs>
              <w:rPr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 xml:space="preserve">ПАО «СБЕРБАНК» Г. МОСКВА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668" w:type="dxa"/>
            <w:vAlign w:val="top"/>
            <w:textDirection w:val="lrTb"/>
            <w:noWrap w:val="false"/>
          </w:tcPr>
          <w:p>
            <w:pPr>
              <w:pStyle w:val="832"/>
              <w:jc w:val="both"/>
              <w:tabs>
                <w:tab w:val="left" w:pos="709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09" w:type="dxa"/>
            <w:vAlign w:val="top"/>
            <w:textDirection w:val="lrTb"/>
            <w:noWrap w:val="false"/>
          </w:tcPr>
          <w:p>
            <w:pPr>
              <w:pStyle w:val="832"/>
              <w:jc w:val="both"/>
              <w:tabs>
                <w:tab w:val="left" w:pos="709" w:leader="none"/>
              </w:tabs>
              <w:rPr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 xml:space="preserve">БИК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vAlign w:val="top"/>
            <w:textDirection w:val="lrTb"/>
            <w:noWrap w:val="false"/>
          </w:tcPr>
          <w:p>
            <w:pPr>
              <w:pStyle w:val="832"/>
              <w:jc w:val="both"/>
              <w:tabs>
                <w:tab w:val="left" w:pos="709" w:leader="none"/>
              </w:tabs>
              <w:rPr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 xml:space="preserve">044525225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668" w:type="dxa"/>
            <w:vAlign w:val="top"/>
            <w:textDirection w:val="lrTb"/>
            <w:noWrap w:val="false"/>
          </w:tcPr>
          <w:p>
            <w:pPr>
              <w:pStyle w:val="832"/>
              <w:jc w:val="both"/>
              <w:tabs>
                <w:tab w:val="left" w:pos="709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09" w:type="dxa"/>
            <w:vAlign w:val="top"/>
            <w:textDirection w:val="lrTb"/>
            <w:noWrap w:val="false"/>
          </w:tcPr>
          <w:p>
            <w:pPr>
              <w:pStyle w:val="832"/>
              <w:jc w:val="both"/>
              <w:tabs>
                <w:tab w:val="left" w:pos="709" w:leader="none"/>
              </w:tabs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 xml:space="preserve">Корреспондентский счет</w:t>
            </w:r>
            <w:r>
              <w:rPr>
                <w:color w:val="333333"/>
                <w:sz w:val="20"/>
                <w:szCs w:val="20"/>
              </w:rPr>
            </w:r>
            <w:r>
              <w:rPr>
                <w:color w:val="333333"/>
                <w:sz w:val="20"/>
                <w:szCs w:val="20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vAlign w:val="top"/>
            <w:textDirection w:val="lrTb"/>
            <w:noWrap w:val="false"/>
          </w:tcPr>
          <w:p>
            <w:pPr>
              <w:pStyle w:val="832"/>
              <w:jc w:val="both"/>
              <w:tabs>
                <w:tab w:val="left" w:pos="709" w:leader="none"/>
              </w:tabs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 xml:space="preserve">3010181040000000022</w:t>
            </w:r>
            <w:r>
              <w:rPr>
                <w:color w:val="333333"/>
                <w:sz w:val="20"/>
                <w:szCs w:val="20"/>
              </w:rPr>
              <w:t xml:space="preserve">5</w:t>
            </w:r>
            <w:r>
              <w:rPr>
                <w:color w:val="333333"/>
                <w:sz w:val="20"/>
                <w:szCs w:val="20"/>
              </w:rPr>
            </w:r>
            <w:r>
              <w:rPr>
                <w:color w:val="333333"/>
                <w:sz w:val="20"/>
                <w:szCs w:val="20"/>
              </w:rPr>
            </w:r>
          </w:p>
        </w:tc>
      </w:tr>
    </w:tbl>
    <w:p>
      <w:pPr>
        <w:pStyle w:val="832"/>
        <w:ind w:firstLine="6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Оплата задатка от имени заявителя иным лицом не допускается.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6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Сумма задатка засчитывается в сумму купленного предмета аукциона или возвращается участнику, не сделавшему покупки.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54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В случае уклонения победителя аукциона, единственного заявителя или единственного участника аукциона от заключения договора внесенный ими задаток не возвращается.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832"/>
        <w:ind w:firstLine="54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Участнику, сделавшему предпоследнее предложение о цене предмета аукциона, задаток возвращается после поступления организатору аукциона сведений о регистрации договора аренды победителем аукциона.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832"/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 xml:space="preserve">1</w:t>
      </w:r>
      <w:r>
        <w:rPr>
          <w:rFonts w:eastAsia="Calibri"/>
          <w:b/>
          <w:sz w:val="24"/>
          <w:szCs w:val="24"/>
          <w:lang w:eastAsia="en-US"/>
        </w:rPr>
        <w:t xml:space="preserve">2</w:t>
      </w:r>
      <w:r>
        <w:rPr>
          <w:rFonts w:eastAsia="Calibri"/>
          <w:b/>
          <w:sz w:val="24"/>
          <w:szCs w:val="24"/>
          <w:lang w:eastAsia="en-US"/>
        </w:rPr>
        <w:t xml:space="preserve">. Срок аренды</w:t>
      </w:r>
      <w:r>
        <w:rPr>
          <w:rFonts w:eastAsia="Calibri"/>
          <w:sz w:val="24"/>
          <w:szCs w:val="24"/>
          <w:lang w:eastAsia="en-US"/>
        </w:rPr>
        <w:t xml:space="preserve">: </w:t>
      </w:r>
      <w:r>
        <w:rPr>
          <w:rFonts w:eastAsia="Calibri"/>
          <w:sz w:val="24"/>
          <w:szCs w:val="24"/>
          <w:lang w:eastAsia="en-US"/>
        </w:rPr>
        <w:t xml:space="preserve">49 лет </w:t>
      </w:r>
      <w:r>
        <w:rPr>
          <w:sz w:val="24"/>
          <w:szCs w:val="24"/>
        </w:rPr>
        <w:t xml:space="preserve">с даты регистрации права аренды</w:t>
      </w:r>
      <w:r>
        <w:rPr>
          <w:sz w:val="24"/>
          <w:szCs w:val="24"/>
        </w:rPr>
        <w:t xml:space="preserve"> лесного участка</w:t>
      </w:r>
      <w:r>
        <w:rPr>
          <w:rFonts w:eastAsia="Calibri"/>
          <w:sz w:val="24"/>
          <w:szCs w:val="24"/>
          <w:lang w:eastAsia="en-US"/>
        </w:rPr>
        <w:t xml:space="preserve">. </w:t>
      </w: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pStyle w:val="832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</w:t>
      </w:r>
      <w:r>
        <w:rPr>
          <w:b/>
          <w:sz w:val="24"/>
          <w:szCs w:val="24"/>
        </w:rPr>
        <w:t xml:space="preserve">3</w:t>
      </w:r>
      <w:r>
        <w:rPr>
          <w:b/>
          <w:sz w:val="24"/>
          <w:szCs w:val="24"/>
        </w:rPr>
        <w:t xml:space="preserve">. Подписание договора аренды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2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Проект договора аренды лесного участка представлен в приложении № 4 к документации об аукционе в электронной форме. Договор </w:t>
      </w:r>
      <w:r>
        <w:rPr>
          <w:sz w:val="24"/>
          <w:szCs w:val="24"/>
        </w:rPr>
        <w:t xml:space="preserve">аренды лесного участка </w:t>
      </w:r>
      <w:r>
        <w:rPr>
          <w:sz w:val="24"/>
          <w:szCs w:val="24"/>
        </w:rPr>
        <w:t xml:space="preserve">подписывается в </w:t>
      </w:r>
      <w:r>
        <w:rPr>
          <w:sz w:val="24"/>
          <w:szCs w:val="24"/>
        </w:rPr>
        <w:t xml:space="preserve">электронном</w:t>
      </w:r>
      <w:r>
        <w:rPr>
          <w:sz w:val="24"/>
          <w:szCs w:val="24"/>
        </w:rPr>
        <w:t xml:space="preserve"> виде.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54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Не допускается подписание договора аренды лесного участка, находящегося в государственной собственности, заключаемого по результатам аукциона, </w:t>
      </w:r>
      <w:r>
        <w:rPr>
          <w:rFonts w:eastAsia="Calibri"/>
          <w:sz w:val="24"/>
          <w:szCs w:val="24"/>
        </w:rPr>
        <w:t xml:space="preserve">ранее</w:t>
      </w:r>
      <w:r>
        <w:rPr>
          <w:rFonts w:eastAsia="Calibri"/>
          <w:sz w:val="24"/>
          <w:szCs w:val="24"/>
        </w:rPr>
        <w:t xml:space="preserve"> чем через десять дней со дня размещения информации о результатах аукциона на официальном сайте торгов.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832"/>
        <w:ind w:firstLine="6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Единственный участник аукциона не позднее че</w:t>
      </w:r>
      <w:r>
        <w:rPr>
          <w:sz w:val="24"/>
          <w:szCs w:val="24"/>
        </w:rPr>
        <w:t xml:space="preserve">м через двадцать дней после дня проведения аукциона обязан заключить договор аренды лесного участка, а организатор аукциона не вправе отказаться от заключения с единственным участником аукциона соответствующего договора по начальной цене предмета аукциона.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54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В случае, если победитель аукциона уклонился от заключения договора аренды лесного участка, соответствующий договор подлежит заключению с участником аукциона, который сделал предпоследнее предложение о цене предмета аукциона.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832"/>
        <w:ind w:firstLine="567"/>
        <w:jc w:val="both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14. Отказ от проведения аукциона</w:t>
      </w:r>
      <w:r>
        <w:rPr>
          <w:rFonts w:eastAsia="Calibri"/>
          <w:b/>
          <w:sz w:val="24"/>
          <w:szCs w:val="24"/>
        </w:rPr>
        <w:t xml:space="preserve">:</w:t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pStyle w:val="832"/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Организатор аукциона вправе отказаться от проведения аукциона не менее чем за              15 рабочих дней до даты окончания срока подачи заявок на участие в аукционе.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832"/>
        <w:ind w:left="284" w:firstLine="283"/>
        <w:jc w:val="both"/>
        <w:tabs>
          <w:tab w:val="left" w:pos="360" w:leader="none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15</w:t>
      </w:r>
      <w:r>
        <w:rPr>
          <w:b/>
          <w:sz w:val="24"/>
          <w:szCs w:val="24"/>
        </w:rPr>
        <w:t xml:space="preserve">. Возможность самостоятельного ознакомления покупателя с качеством лесных участков, выставляемых на аукцион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осмотра предлагаемого лесного участка обращаться в структурное подразделение </w:t>
      </w:r>
      <w:r>
        <w:rPr>
          <w:sz w:val="24"/>
          <w:szCs w:val="24"/>
        </w:rPr>
        <w:t xml:space="preserve">бюджетное</w:t>
      </w:r>
      <w:r>
        <w:rPr>
          <w:sz w:val="24"/>
          <w:szCs w:val="24"/>
        </w:rPr>
        <w:t xml:space="preserve"> учреждения Чувашской Республики «</w:t>
      </w:r>
      <w:r>
        <w:rPr>
          <w:sz w:val="24"/>
          <w:szCs w:val="24"/>
        </w:rPr>
        <w:t xml:space="preserve">Чебоксарское</w:t>
      </w:r>
      <w:r>
        <w:rPr>
          <w:sz w:val="24"/>
          <w:szCs w:val="24"/>
        </w:rPr>
        <w:t xml:space="preserve"> лесничество</w:t>
      </w:r>
      <w:r>
        <w:rPr>
          <w:sz w:val="24"/>
          <w:szCs w:val="24"/>
        </w:rPr>
        <w:t xml:space="preserve">» </w:t>
      </w:r>
      <w:r>
        <w:rPr>
          <w:sz w:val="24"/>
          <w:szCs w:val="24"/>
        </w:rPr>
        <w:br w:type="textWrapping" w:clear="all"/>
      </w:r>
      <w:r>
        <w:rPr>
          <w:sz w:val="24"/>
          <w:szCs w:val="24"/>
        </w:rPr>
        <w:t xml:space="preserve">тел. 8(835</w:t>
      </w:r>
      <w:r>
        <w:rPr>
          <w:sz w:val="24"/>
          <w:szCs w:val="24"/>
        </w:rPr>
        <w:t xml:space="preserve">2) 40-52-63. 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851" w:right="567" w:bottom="851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nos">
    <w:panose1 w:val="02020603050405020304"/>
  </w:font>
  <w:font w:name="Tahoma">
    <w:panose1 w:val="020B0604030504040204"/>
  </w:font>
  <w:font w:name="Courier New">
    <w:panose1 w:val="020704090202050204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 w:val="true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link w:val="684"/>
    <w:uiPriority w:val="99"/>
  </w:style>
  <w:style w:type="paragraph" w:styleId="686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next w:val="832"/>
    <w:link w:val="832"/>
    <w:qFormat/>
    <w:rPr>
      <w:rFonts w:eastAsia="Times New Roman"/>
      <w:sz w:val="28"/>
      <w:szCs w:val="28"/>
      <w:lang w:val="ru-RU" w:eastAsia="ru-RU" w:bidi="ar-SA"/>
    </w:rPr>
  </w:style>
  <w:style w:type="paragraph" w:styleId="833">
    <w:name w:val="Заголовок 3"/>
    <w:basedOn w:val="832"/>
    <w:next w:val="833"/>
    <w:link w:val="848"/>
    <w:uiPriority w:val="9"/>
    <w:qFormat/>
    <w:pPr>
      <w:spacing w:after="150"/>
      <w:outlineLvl w:val="2"/>
    </w:pPr>
    <w:rPr>
      <w:rFonts w:ascii="Arial" w:hAnsi="Arial"/>
      <w:color w:val="000000"/>
      <w:sz w:val="27"/>
      <w:szCs w:val="27"/>
      <w:lang w:val="en-US" w:eastAsia="en-US"/>
    </w:rPr>
  </w:style>
  <w:style w:type="paragraph" w:styleId="834">
    <w:name w:val="Заголовок 4"/>
    <w:basedOn w:val="832"/>
    <w:next w:val="834"/>
    <w:link w:val="849"/>
    <w:uiPriority w:val="9"/>
    <w:qFormat/>
    <w:pPr>
      <w:spacing w:before="100" w:beforeAutospacing="1" w:after="100" w:afterAutospacing="1"/>
      <w:outlineLvl w:val="3"/>
    </w:pPr>
    <w:rPr>
      <w:rFonts w:ascii="Arial" w:hAnsi="Arial"/>
      <w:color w:val="000000"/>
      <w:sz w:val="24"/>
      <w:szCs w:val="24"/>
      <w:lang w:val="en-US" w:eastAsia="en-US"/>
    </w:rPr>
  </w:style>
  <w:style w:type="character" w:styleId="835">
    <w:name w:val="Основной шрифт абзаца"/>
    <w:next w:val="835"/>
    <w:link w:val="832"/>
    <w:uiPriority w:val="1"/>
    <w:semiHidden/>
    <w:unhideWhenUsed/>
  </w:style>
  <w:style w:type="table" w:styleId="836">
    <w:name w:val="Обычная таблица"/>
    <w:next w:val="836"/>
    <w:link w:val="832"/>
    <w:uiPriority w:val="99"/>
    <w:semiHidden/>
    <w:unhideWhenUsed/>
    <w:tblPr/>
  </w:style>
  <w:style w:type="numbering" w:styleId="837">
    <w:name w:val="Нет списка"/>
    <w:next w:val="837"/>
    <w:link w:val="832"/>
    <w:uiPriority w:val="99"/>
    <w:semiHidden/>
    <w:unhideWhenUsed/>
  </w:style>
  <w:style w:type="paragraph" w:styleId="838">
    <w:name w:val="Таблицы (моноширинный)"/>
    <w:basedOn w:val="832"/>
    <w:next w:val="832"/>
    <w:link w:val="832"/>
    <w:pPr>
      <w:jc w:val="both"/>
      <w:widowControl w:val="off"/>
    </w:pPr>
    <w:rPr>
      <w:rFonts w:ascii="Courier New" w:hAnsi="Courier New" w:cs="Courier New"/>
      <w:sz w:val="24"/>
      <w:szCs w:val="24"/>
    </w:rPr>
  </w:style>
  <w:style w:type="paragraph" w:styleId="839">
    <w:name w:val="ConsPlusNormal"/>
    <w:next w:val="839"/>
    <w:link w:val="832"/>
    <w:pPr>
      <w:ind w:firstLine="720"/>
      <w:widowControl w:val="off"/>
    </w:pPr>
    <w:rPr>
      <w:rFonts w:ascii="Arial" w:hAnsi="Arial" w:eastAsia="Times New Roman" w:cs="Arial"/>
      <w:lang w:val="ru-RU" w:eastAsia="ru-RU" w:bidi="ar-SA"/>
    </w:rPr>
  </w:style>
  <w:style w:type="character" w:styleId="840">
    <w:name w:val="Гиперссылка"/>
    <w:next w:val="840"/>
    <w:link w:val="832"/>
    <w:uiPriority w:val="99"/>
    <w:rPr>
      <w:rFonts w:cs="Times New Roman"/>
      <w:color w:val="0000ff"/>
      <w:u w:val="single"/>
    </w:rPr>
  </w:style>
  <w:style w:type="paragraph" w:styleId="841">
    <w:name w:val="Основной текст 2"/>
    <w:basedOn w:val="832"/>
    <w:next w:val="841"/>
    <w:link w:val="842"/>
    <w:pPr>
      <w:spacing w:after="120" w:line="480" w:lineRule="auto"/>
    </w:pPr>
    <w:rPr>
      <w:sz w:val="24"/>
      <w:szCs w:val="24"/>
      <w:lang w:val="en-US" w:eastAsia="en-US"/>
    </w:rPr>
  </w:style>
  <w:style w:type="character" w:styleId="842">
    <w:name w:val="Основной текст 2 Знак"/>
    <w:next w:val="842"/>
    <w:link w:val="841"/>
    <w:rPr>
      <w:rFonts w:eastAsia="Times New Roman"/>
      <w:sz w:val="24"/>
      <w:szCs w:val="24"/>
    </w:rPr>
  </w:style>
  <w:style w:type="paragraph" w:styleId="843">
    <w:name w:val="rezul"/>
    <w:basedOn w:val="832"/>
    <w:next w:val="843"/>
    <w:link w:val="832"/>
    <w:pPr>
      <w:ind w:firstLine="283"/>
      <w:jc w:val="both"/>
      <w:widowControl w:val="off"/>
    </w:pPr>
    <w:rPr>
      <w:b/>
      <w:sz w:val="22"/>
      <w:szCs w:val="20"/>
      <w:lang w:val="en-US" w:eastAsia="en-US"/>
    </w:rPr>
  </w:style>
  <w:style w:type="paragraph" w:styleId="844">
    <w:name w:val="TextBasTxt"/>
    <w:basedOn w:val="832"/>
    <w:next w:val="844"/>
    <w:link w:val="832"/>
    <w:pPr>
      <w:ind w:firstLine="567"/>
      <w:jc w:val="both"/>
    </w:pPr>
    <w:rPr>
      <w:rFonts w:eastAsia="Calibri"/>
      <w:sz w:val="24"/>
      <w:szCs w:val="24"/>
    </w:rPr>
  </w:style>
  <w:style w:type="paragraph" w:styleId="845">
    <w:name w:val="Основной текст с отступом 3"/>
    <w:basedOn w:val="832"/>
    <w:next w:val="845"/>
    <w:link w:val="846"/>
    <w:uiPriority w:val="99"/>
    <w:semiHidden/>
    <w:unhideWhenUsed/>
    <w:pPr>
      <w:ind w:left="283"/>
      <w:spacing w:after="120"/>
    </w:pPr>
    <w:rPr>
      <w:sz w:val="16"/>
      <w:szCs w:val="16"/>
      <w:lang w:val="en-US" w:eastAsia="en-US"/>
    </w:rPr>
  </w:style>
  <w:style w:type="character" w:styleId="846">
    <w:name w:val="Основной текст с отступом 3 Знак"/>
    <w:next w:val="846"/>
    <w:link w:val="845"/>
    <w:uiPriority w:val="99"/>
    <w:semiHidden/>
    <w:rPr>
      <w:rFonts w:eastAsia="Times New Roman"/>
      <w:sz w:val="16"/>
      <w:szCs w:val="16"/>
    </w:rPr>
  </w:style>
  <w:style w:type="character" w:styleId="847">
    <w:name w:val="webpageurl"/>
    <w:next w:val="847"/>
    <w:link w:val="832"/>
  </w:style>
  <w:style w:type="character" w:styleId="848">
    <w:name w:val="Заголовок 3 Знак"/>
    <w:next w:val="848"/>
    <w:link w:val="833"/>
    <w:uiPriority w:val="9"/>
    <w:rPr>
      <w:rFonts w:ascii="Arial" w:hAnsi="Arial" w:eastAsia="Times New Roman" w:cs="Arial"/>
      <w:color w:val="000000"/>
      <w:sz w:val="27"/>
      <w:szCs w:val="27"/>
    </w:rPr>
  </w:style>
  <w:style w:type="character" w:styleId="849">
    <w:name w:val="Заголовок 4 Знак"/>
    <w:next w:val="849"/>
    <w:link w:val="834"/>
    <w:uiPriority w:val="9"/>
    <w:rPr>
      <w:rFonts w:ascii="Arial" w:hAnsi="Arial" w:eastAsia="Times New Roman" w:cs="Arial"/>
      <w:color w:val="000000"/>
      <w:sz w:val="24"/>
      <w:szCs w:val="24"/>
    </w:rPr>
  </w:style>
  <w:style w:type="character" w:styleId="850">
    <w:name w:val="Выделение"/>
    <w:next w:val="850"/>
    <w:link w:val="832"/>
    <w:uiPriority w:val="20"/>
    <w:qFormat/>
    <w:rPr>
      <w:i/>
      <w:iCs/>
    </w:rPr>
  </w:style>
  <w:style w:type="character" w:styleId="851">
    <w:name w:val="Строгий"/>
    <w:next w:val="851"/>
    <w:link w:val="832"/>
    <w:uiPriority w:val="22"/>
    <w:qFormat/>
    <w:rPr>
      <w:b/>
      <w:bCs/>
    </w:rPr>
  </w:style>
  <w:style w:type="paragraph" w:styleId="852">
    <w:name w:val="Текст выноски"/>
    <w:basedOn w:val="832"/>
    <w:next w:val="852"/>
    <w:link w:val="853"/>
    <w:uiPriority w:val="99"/>
    <w:semiHidden/>
    <w:unhideWhenUsed/>
    <w:rPr>
      <w:rFonts w:ascii="Tahoma" w:hAnsi="Tahoma"/>
      <w:sz w:val="16"/>
      <w:szCs w:val="16"/>
      <w:lang w:val="en-US" w:eastAsia="en-US"/>
    </w:rPr>
  </w:style>
  <w:style w:type="character" w:styleId="853">
    <w:name w:val="Текст выноски Знак"/>
    <w:next w:val="853"/>
    <w:link w:val="852"/>
    <w:uiPriority w:val="99"/>
    <w:semiHidden/>
    <w:rPr>
      <w:rFonts w:ascii="Tahoma" w:hAnsi="Tahoma" w:eastAsia="Times New Roman" w:cs="Tahoma"/>
      <w:sz w:val="16"/>
      <w:szCs w:val="16"/>
    </w:rPr>
  </w:style>
  <w:style w:type="table" w:styleId="854">
    <w:name w:val="Сетка таблицы"/>
    <w:basedOn w:val="836"/>
    <w:next w:val="854"/>
    <w:link w:val="832"/>
    <w:uiPriority w:val="59"/>
    <w:tblPr/>
  </w:style>
  <w:style w:type="paragraph" w:styleId="855">
    <w:name w:val="Основной текст с отступом"/>
    <w:basedOn w:val="832"/>
    <w:next w:val="855"/>
    <w:link w:val="856"/>
    <w:uiPriority w:val="99"/>
    <w:semiHidden/>
    <w:unhideWhenUsed/>
    <w:pPr>
      <w:ind w:left="283"/>
      <w:spacing w:after="120"/>
    </w:pPr>
  </w:style>
  <w:style w:type="character" w:styleId="856">
    <w:name w:val="Основной текст с отступом Знак"/>
    <w:next w:val="856"/>
    <w:link w:val="855"/>
    <w:uiPriority w:val="99"/>
    <w:semiHidden/>
    <w:rPr>
      <w:rFonts w:eastAsia="Times New Roman"/>
      <w:sz w:val="28"/>
      <w:szCs w:val="28"/>
    </w:rPr>
  </w:style>
  <w:style w:type="paragraph" w:styleId="857">
    <w:name w:val="Стандартный HTML"/>
    <w:basedOn w:val="832"/>
    <w:next w:val="857"/>
    <w:link w:val="858"/>
    <w:uiPriority w:val="99"/>
    <w:unhideWhenUsed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</w:rPr>
  </w:style>
  <w:style w:type="character" w:styleId="858">
    <w:name w:val="Стандартный HTML Знак"/>
    <w:next w:val="858"/>
    <w:link w:val="857"/>
    <w:uiPriority w:val="99"/>
    <w:rPr>
      <w:rFonts w:ascii="Courier New" w:hAnsi="Courier New" w:eastAsia="Times New Roman" w:cs="Courier New"/>
    </w:rPr>
  </w:style>
  <w:style w:type="paragraph" w:styleId="859">
    <w:name w:val="western"/>
    <w:basedOn w:val="832"/>
    <w:next w:val="859"/>
    <w:link w:val="832"/>
    <w:pPr>
      <w:spacing w:before="100" w:beforeAutospacing="1" w:after="100" w:afterAutospacing="1"/>
    </w:pPr>
    <w:rPr>
      <w:sz w:val="24"/>
      <w:szCs w:val="24"/>
    </w:rPr>
  </w:style>
  <w:style w:type="character" w:styleId="860" w:default="1">
    <w:name w:val="Default Paragraph Font"/>
    <w:uiPriority w:val="1"/>
    <w:semiHidden/>
    <w:unhideWhenUsed/>
  </w:style>
  <w:style w:type="numbering" w:styleId="861" w:default="1">
    <w:name w:val="No List"/>
    <w:uiPriority w:val="99"/>
    <w:semiHidden/>
    <w:unhideWhenUsed/>
  </w:style>
  <w:style w:type="table" w:styleId="86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Минприроды 25. Иванова ЕН</dc:creator>
  <cp:revision>400</cp:revision>
  <dcterms:created xsi:type="dcterms:W3CDTF">2020-12-30T05:47:00Z</dcterms:created>
  <dcterms:modified xsi:type="dcterms:W3CDTF">2025-02-21T12:14:21Z</dcterms:modified>
  <cp:version>917504</cp:version>
</cp:coreProperties>
</file>